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366B3" w14:textId="250F3BF9" w:rsidR="00D43BC1" w:rsidRDefault="00D43BC1" w:rsidP="00D43BC1">
      <w:pPr>
        <w:rPr>
          <w:b/>
        </w:rPr>
      </w:pPr>
    </w:p>
    <w:p w14:paraId="1415A489" w14:textId="6CB48BC8" w:rsidR="00192492" w:rsidRDefault="00192492" w:rsidP="00192492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1D55DD56" w14:textId="77777777" w:rsidR="00192492" w:rsidRDefault="00192492" w:rsidP="00192492">
      <w:pPr>
        <w:spacing w:after="0" w:line="240" w:lineRule="auto"/>
        <w:jc w:val="center"/>
        <w:rPr>
          <w:b/>
        </w:rPr>
      </w:pPr>
      <w:r>
        <w:rPr>
          <w:b/>
        </w:rPr>
        <w:t xml:space="preserve">BRINGING AN AGREEMENT UNDER THE ELECTRONIC </w:t>
      </w:r>
    </w:p>
    <w:p w14:paraId="0218DD40" w14:textId="77777777" w:rsidR="00192492" w:rsidRPr="00EB5FFA" w:rsidRDefault="00192492" w:rsidP="00192492">
      <w:pPr>
        <w:spacing w:after="0" w:line="240" w:lineRule="auto"/>
        <w:jc w:val="center"/>
        <w:rPr>
          <w:b/>
        </w:rPr>
      </w:pPr>
      <w:r>
        <w:rPr>
          <w:b/>
        </w:rPr>
        <w:t>COMMUNICATIONS CODE TO AN END</w:t>
      </w:r>
    </w:p>
    <w:p w14:paraId="0EEC8BC9" w14:textId="77777777" w:rsidR="00192492" w:rsidRDefault="00192492" w:rsidP="00192492">
      <w:pPr>
        <w:pStyle w:val="ListParagraph"/>
        <w:ind w:left="426"/>
      </w:pPr>
    </w:p>
    <w:p w14:paraId="42782549" w14:textId="039BD457" w:rsidR="00B328AB" w:rsidRDefault="00B328AB" w:rsidP="00B328AB">
      <w:pPr>
        <w:pStyle w:val="ListParagraph"/>
        <w:ind w:left="426"/>
        <w:jc w:val="center"/>
        <w:rPr>
          <w:b/>
        </w:rPr>
      </w:pPr>
      <w:r>
        <w:rPr>
          <w:b/>
        </w:rPr>
        <w:t>Paragraph 3</w:t>
      </w:r>
      <w:r w:rsidR="00802F3B">
        <w:rPr>
          <w:b/>
        </w:rPr>
        <w:t>1</w:t>
      </w:r>
      <w:r>
        <w:rPr>
          <w:b/>
        </w:rPr>
        <w:t xml:space="preserve">(1) of Part </w:t>
      </w:r>
      <w:r w:rsidR="00305B9C">
        <w:rPr>
          <w:b/>
        </w:rPr>
        <w:t>5</w:t>
      </w:r>
      <w:r>
        <w:rPr>
          <w:b/>
        </w:rPr>
        <w:t xml:space="preserve"> of Schedule 3A of the Communications Act 2003</w:t>
      </w:r>
    </w:p>
    <w:p w14:paraId="3ED2683E" w14:textId="77777777" w:rsidR="00B328AB" w:rsidRDefault="00B328AB" w:rsidP="00B328AB">
      <w:pPr>
        <w:pStyle w:val="ListParagraph"/>
        <w:ind w:left="426"/>
      </w:pPr>
    </w:p>
    <w:p w14:paraId="23BB65F5" w14:textId="0C2DBADE" w:rsidR="00192492" w:rsidRDefault="00192492" w:rsidP="001058BE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 notice pursuant to paragraph 3</w:t>
      </w:r>
      <w:r w:rsidR="00970AAB">
        <w:t>1</w:t>
      </w:r>
      <w:r>
        <w:t>(1)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>
        <w:t xml:space="preserve"> </w:t>
      </w:r>
      <w:r w:rsidR="00035783" w:rsidRPr="00C73489">
        <w:rPr>
          <w:b/>
          <w:vertAlign w:val="superscript"/>
        </w:rPr>
        <w:t>[</w:t>
      </w:r>
      <w:r w:rsidR="00956ACA" w:rsidRPr="00C73489">
        <w:rPr>
          <w:b/>
          <w:vertAlign w:val="superscript"/>
        </w:rPr>
        <w:t>s</w:t>
      </w:r>
      <w:r w:rsidR="00035783" w:rsidRPr="00C73489">
        <w:rPr>
          <w:b/>
          <w:vertAlign w:val="superscript"/>
        </w:rPr>
        <w:t>ee note (a)]</w:t>
      </w:r>
    </w:p>
    <w:p w14:paraId="67431A81" w14:textId="77777777" w:rsidR="00192492" w:rsidRDefault="00192492" w:rsidP="001058BE">
      <w:pPr>
        <w:pStyle w:val="ListParagraph"/>
        <w:ind w:left="142" w:hanging="284"/>
        <w:jc w:val="both"/>
      </w:pPr>
    </w:p>
    <w:p w14:paraId="00196E82" w14:textId="432EFEE1" w:rsidR="00095944" w:rsidRDefault="00B328AB" w:rsidP="001058BE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="001058BE" w:rsidRPr="001058BE">
        <w:rPr>
          <w:i/>
          <w:highlight w:val="yellow"/>
        </w:rPr>
        <w:t>I / We</w:t>
      </w:r>
      <w:r w:rsidR="001058BE">
        <w:t>]</w:t>
      </w:r>
      <w:r w:rsidR="00192492">
        <w:t xml:space="preserve"> [</w:t>
      </w:r>
      <w:r w:rsidR="00192492" w:rsidRPr="00192492">
        <w:rPr>
          <w:i/>
          <w:highlight w:val="yellow"/>
        </w:rPr>
        <w:t xml:space="preserve">Insert </w:t>
      </w:r>
      <w:r w:rsidR="00192492" w:rsidRPr="001058BE">
        <w:rPr>
          <w:i/>
          <w:highlight w:val="yellow"/>
        </w:rPr>
        <w:t>name</w:t>
      </w:r>
      <w:r w:rsidR="001058BE" w:rsidRPr="001058BE">
        <w:t>]</w:t>
      </w:r>
      <w:r w:rsidR="00192492">
        <w:t xml:space="preserve"> </w:t>
      </w:r>
      <w:r w:rsidR="001058BE">
        <w:t>[</w:t>
      </w:r>
      <w:r w:rsidR="00192492" w:rsidRPr="001058BE">
        <w:rPr>
          <w:i/>
          <w:highlight w:val="yellow"/>
        </w:rPr>
        <w:t>am</w:t>
      </w:r>
      <w:r w:rsidR="001058BE" w:rsidRPr="001058BE">
        <w:rPr>
          <w:i/>
          <w:highlight w:val="yellow"/>
        </w:rPr>
        <w:t>/are</w:t>
      </w:r>
      <w:r w:rsidR="001058BE">
        <w:t>]</w:t>
      </w:r>
      <w:r w:rsidR="00192492">
        <w:t xml:space="preserve"> currently party to </w:t>
      </w:r>
      <w:r w:rsidR="00095944">
        <w:t>an agreement under P</w:t>
      </w:r>
      <w:r w:rsidR="00192492">
        <w:t>art 2 of the Code with you, [</w:t>
      </w:r>
      <w:r w:rsidR="00192492" w:rsidRPr="00192492">
        <w:rPr>
          <w:i/>
          <w:highlight w:val="yellow"/>
        </w:rPr>
        <w:t>Name of Code operator</w:t>
      </w:r>
      <w:r w:rsidR="00192492" w:rsidRPr="00192492">
        <w:rPr>
          <w:highlight w:val="yellow"/>
        </w:rPr>
        <w:t>]</w:t>
      </w:r>
      <w:r w:rsidR="00095944">
        <w:t xml:space="preserve"> (the “</w:t>
      </w:r>
      <w:r w:rsidR="00095944" w:rsidRPr="00095944">
        <w:rPr>
          <w:b/>
        </w:rPr>
        <w:t>Agreement</w:t>
      </w:r>
      <w:r w:rsidR="00095944">
        <w:t>”)</w:t>
      </w:r>
      <w:r w:rsidR="00192492">
        <w:t xml:space="preserve">. </w:t>
      </w:r>
      <w:r w:rsidR="00095944">
        <w:t>Under the A</w:t>
      </w:r>
      <w:r w:rsidR="00192492">
        <w:t xml:space="preserve">greement, </w:t>
      </w:r>
      <w:r w:rsidR="001058BE">
        <w:t>[</w:t>
      </w:r>
      <w:r w:rsidR="00192492" w:rsidRPr="001058BE">
        <w:rPr>
          <w:i/>
          <w:highlight w:val="yellow"/>
        </w:rPr>
        <w:t>I</w:t>
      </w:r>
      <w:r w:rsidR="001058BE" w:rsidRPr="001058BE">
        <w:rPr>
          <w:i/>
          <w:highlight w:val="yellow"/>
        </w:rPr>
        <w:t>/we</w:t>
      </w:r>
      <w:r w:rsidR="001058BE">
        <w:t>]</w:t>
      </w:r>
      <w:r w:rsidR="00192492">
        <w:t xml:space="preserve"> agreed to </w:t>
      </w:r>
      <w:r w:rsidR="00A8647F">
        <w:t xml:space="preserve">confer or be otherwise bound by </w:t>
      </w:r>
      <w:r w:rsidR="001058BE">
        <w:t xml:space="preserve">a number </w:t>
      </w:r>
      <w:bookmarkStart w:id="0" w:name="_GoBack"/>
      <w:bookmarkEnd w:id="0"/>
      <w:r w:rsidR="001058BE">
        <w:t>of C</w:t>
      </w:r>
      <w:r w:rsidR="00192492">
        <w:t xml:space="preserve">ode rights in order to facilitate the deployment by you of your </w:t>
      </w:r>
      <w:r w:rsidR="00192492" w:rsidRPr="00192492">
        <w:t>electronic communications network and/or infrastructure system</w:t>
      </w:r>
      <w:r w:rsidR="00192492">
        <w:t xml:space="preserve">. These code rights </w:t>
      </w:r>
      <w:r w:rsidR="00095944">
        <w:t>relate to land</w:t>
      </w:r>
      <w:r w:rsidR="00192492">
        <w:t xml:space="preserve"> occupied by </w:t>
      </w:r>
      <w:r w:rsidR="001058BE">
        <w:t>[</w:t>
      </w:r>
      <w:r w:rsidR="00192492" w:rsidRPr="001058BE">
        <w:rPr>
          <w:i/>
          <w:highlight w:val="yellow"/>
        </w:rPr>
        <w:t>me</w:t>
      </w:r>
      <w:r w:rsidR="001058BE" w:rsidRPr="001058BE">
        <w:rPr>
          <w:i/>
          <w:highlight w:val="yellow"/>
        </w:rPr>
        <w:t>/us</w:t>
      </w:r>
      <w:r w:rsidR="001058BE">
        <w:t>]</w:t>
      </w:r>
      <w:r w:rsidR="00192492">
        <w:t xml:space="preserve"> at [</w:t>
      </w:r>
      <w:r w:rsidR="00192492">
        <w:rPr>
          <w:i/>
        </w:rPr>
        <w:t>I</w:t>
      </w:r>
      <w:r w:rsidR="00192492" w:rsidRPr="00192492">
        <w:rPr>
          <w:i/>
          <w:highlight w:val="yellow"/>
        </w:rPr>
        <w:t>nsert address</w:t>
      </w:r>
      <w:r w:rsidR="00192492">
        <w:t>]</w:t>
      </w:r>
      <w:r w:rsidR="00095944">
        <w:t>.</w:t>
      </w:r>
    </w:p>
    <w:p w14:paraId="145CB10A" w14:textId="5877C309" w:rsidR="00192492" w:rsidRDefault="00192492" w:rsidP="001058BE">
      <w:pPr>
        <w:pStyle w:val="ListParagraph"/>
        <w:ind w:left="426"/>
        <w:jc w:val="both"/>
      </w:pPr>
    </w:p>
    <w:p w14:paraId="317D3778" w14:textId="4B308D0A" w:rsidR="008C4BEB" w:rsidRDefault="00095944" w:rsidP="001058BE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purpose of this notice is to </w:t>
      </w:r>
      <w:r w:rsidR="00B257DD">
        <w:t>inform</w:t>
      </w:r>
      <w:r>
        <w:t xml:space="preserve"> you that </w:t>
      </w:r>
      <w:r w:rsidR="001058BE">
        <w:t>[</w:t>
      </w:r>
      <w:r w:rsidRPr="001058BE">
        <w:rPr>
          <w:i/>
          <w:highlight w:val="yellow"/>
        </w:rPr>
        <w:t>I</w:t>
      </w:r>
      <w:r w:rsidR="001058BE" w:rsidRPr="001058BE">
        <w:rPr>
          <w:i/>
          <w:highlight w:val="yellow"/>
        </w:rPr>
        <w:t>/we</w:t>
      </w:r>
      <w:r w:rsidR="001058BE">
        <w:t>]</w:t>
      </w:r>
      <w:r>
        <w:t xml:space="preserve"> would like to bring the Agreement to an end. </w:t>
      </w:r>
    </w:p>
    <w:p w14:paraId="6A76D1AC" w14:textId="14405C2C" w:rsidR="0054010A" w:rsidRDefault="0054010A" w:rsidP="001058BE">
      <w:pPr>
        <w:pStyle w:val="ListParagraph"/>
        <w:ind w:left="1440"/>
        <w:jc w:val="both"/>
      </w:pPr>
      <w:r>
        <w:t xml:space="preserve"> </w:t>
      </w:r>
    </w:p>
    <w:p w14:paraId="581E49ED" w14:textId="5BD2CA26" w:rsidR="00095944" w:rsidRPr="00956ACA" w:rsidRDefault="001058BE" w:rsidP="001058BE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="0054010A" w:rsidRPr="001058BE">
        <w:rPr>
          <w:i/>
          <w:highlight w:val="yellow"/>
        </w:rPr>
        <w:t>I</w:t>
      </w:r>
      <w:r w:rsidRPr="001058BE">
        <w:rPr>
          <w:i/>
          <w:highlight w:val="yellow"/>
        </w:rPr>
        <w:t>/we</w:t>
      </w:r>
      <w:r>
        <w:t>]</w:t>
      </w:r>
      <w:r w:rsidR="0054010A">
        <w:t xml:space="preserve"> propos</w:t>
      </w:r>
      <w:r w:rsidR="00B257DD">
        <w:t>e</w:t>
      </w:r>
      <w:r w:rsidR="0054010A">
        <w:t xml:space="preserve"> that the Agreement </w:t>
      </w:r>
      <w:r w:rsidR="00095944">
        <w:t>be brought to an end on [</w:t>
      </w:r>
      <w:r w:rsidR="00095944" w:rsidRPr="00095944">
        <w:rPr>
          <w:i/>
          <w:highlight w:val="yellow"/>
        </w:rPr>
        <w:t>Insert date</w:t>
      </w:r>
      <w:r w:rsidR="00095944" w:rsidRPr="00C73489">
        <w:rPr>
          <w:b/>
        </w:rPr>
        <w:t>].</w:t>
      </w:r>
      <w:r w:rsidR="00B257DD" w:rsidRPr="00C73489">
        <w:rPr>
          <w:b/>
          <w:vertAlign w:val="superscript"/>
        </w:rPr>
        <w:t>[</w:t>
      </w:r>
      <w:r w:rsidR="00956ACA" w:rsidRPr="00C73489">
        <w:rPr>
          <w:b/>
          <w:vertAlign w:val="superscript"/>
        </w:rPr>
        <w:t>s</w:t>
      </w:r>
      <w:r w:rsidR="00035783" w:rsidRPr="00C73489">
        <w:rPr>
          <w:b/>
          <w:vertAlign w:val="superscript"/>
        </w:rPr>
        <w:t>ee note (b</w:t>
      </w:r>
      <w:r w:rsidR="00B257DD" w:rsidRPr="00C73489">
        <w:rPr>
          <w:b/>
          <w:vertAlign w:val="superscript"/>
        </w:rPr>
        <w:t>)]</w:t>
      </w:r>
    </w:p>
    <w:p w14:paraId="0C117202" w14:textId="77777777" w:rsidR="00095944" w:rsidRDefault="00095944" w:rsidP="001058BE">
      <w:pPr>
        <w:pStyle w:val="ListParagraph"/>
        <w:ind w:left="426"/>
        <w:jc w:val="both"/>
      </w:pPr>
    </w:p>
    <w:p w14:paraId="7678C47C" w14:textId="3AA65968" w:rsidR="00095944" w:rsidRDefault="001058BE" w:rsidP="001058BE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Pr="001058BE">
        <w:rPr>
          <w:i/>
          <w:highlight w:val="yellow"/>
        </w:rPr>
        <w:t>I/we</w:t>
      </w:r>
      <w:r>
        <w:t xml:space="preserve">] </w:t>
      </w:r>
      <w:r w:rsidR="00095944">
        <w:t>propose that the Agreement be brought to an end</w:t>
      </w:r>
      <w:r w:rsidR="004C282B">
        <w:t>:</w:t>
      </w:r>
      <w:r w:rsidR="00956ACA">
        <w:t xml:space="preserve"> </w:t>
      </w:r>
      <w:r w:rsidR="00956ACA" w:rsidRPr="00C73489">
        <w:rPr>
          <w:b/>
          <w:vertAlign w:val="superscript"/>
        </w:rPr>
        <w:t>[see note (c)]</w:t>
      </w:r>
    </w:p>
    <w:p w14:paraId="18B18E2C" w14:textId="77777777" w:rsidR="00107D99" w:rsidRDefault="00095944" w:rsidP="001058BE">
      <w:pPr>
        <w:pStyle w:val="ListParagraph"/>
        <w:numPr>
          <w:ilvl w:val="1"/>
          <w:numId w:val="1"/>
        </w:numPr>
        <w:ind w:left="851" w:hanging="425"/>
        <w:jc w:val="both"/>
        <w:rPr>
          <w:highlight w:val="yellow"/>
        </w:rPr>
      </w:pPr>
      <w:r w:rsidRPr="008F0A26">
        <w:rPr>
          <w:highlight w:val="yellow"/>
        </w:rPr>
        <w:t>[</w:t>
      </w:r>
      <w:r w:rsidRPr="008F0A26">
        <w:rPr>
          <w:i/>
          <w:highlight w:val="yellow"/>
        </w:rPr>
        <w:t>as a result of substantial breaches by you of your obligations under the Agreement</w:t>
      </w:r>
      <w:r w:rsidRPr="008F0A26">
        <w:rPr>
          <w:highlight w:val="yellow"/>
        </w:rPr>
        <w:t>;]</w:t>
      </w:r>
    </w:p>
    <w:p w14:paraId="309F1B14" w14:textId="6D71B2B5" w:rsidR="00107D99" w:rsidRDefault="00095944" w:rsidP="001058BE">
      <w:pPr>
        <w:pStyle w:val="ListParagraph"/>
        <w:numPr>
          <w:ilvl w:val="1"/>
          <w:numId w:val="1"/>
        </w:numPr>
        <w:ind w:left="851" w:hanging="425"/>
        <w:jc w:val="both"/>
        <w:rPr>
          <w:highlight w:val="yellow"/>
        </w:rPr>
      </w:pPr>
      <w:r w:rsidRPr="00107D99">
        <w:rPr>
          <w:highlight w:val="yellow"/>
        </w:rPr>
        <w:t>[</w:t>
      </w:r>
      <w:r w:rsidRPr="00107D99">
        <w:rPr>
          <w:i/>
          <w:highlight w:val="yellow"/>
        </w:rPr>
        <w:t xml:space="preserve">because of persistent delays by you in making payments to </w:t>
      </w:r>
      <w:r w:rsidR="001058BE">
        <w:rPr>
          <w:i/>
          <w:highlight w:val="yellow"/>
        </w:rPr>
        <w:t>[</w:t>
      </w:r>
      <w:r w:rsidRPr="00107D99">
        <w:rPr>
          <w:i/>
          <w:highlight w:val="yellow"/>
        </w:rPr>
        <w:t>me</w:t>
      </w:r>
      <w:r w:rsidR="001058BE">
        <w:rPr>
          <w:i/>
          <w:highlight w:val="yellow"/>
        </w:rPr>
        <w:t>/us]</w:t>
      </w:r>
      <w:r w:rsidRPr="00107D99">
        <w:rPr>
          <w:i/>
          <w:highlight w:val="yellow"/>
        </w:rPr>
        <w:t xml:space="preserve"> under the Agreement</w:t>
      </w:r>
      <w:r w:rsidRPr="00107D99">
        <w:rPr>
          <w:highlight w:val="yellow"/>
        </w:rPr>
        <w:t>;]</w:t>
      </w:r>
    </w:p>
    <w:p w14:paraId="5CF4CC69" w14:textId="07EE424D" w:rsidR="00107D99" w:rsidRDefault="00095944" w:rsidP="001058BE">
      <w:pPr>
        <w:pStyle w:val="ListParagraph"/>
        <w:numPr>
          <w:ilvl w:val="1"/>
          <w:numId w:val="1"/>
        </w:numPr>
        <w:ind w:left="851" w:hanging="425"/>
        <w:jc w:val="both"/>
        <w:rPr>
          <w:highlight w:val="yellow"/>
        </w:rPr>
      </w:pPr>
      <w:r w:rsidRPr="00107D99">
        <w:rPr>
          <w:highlight w:val="yellow"/>
        </w:rPr>
        <w:t>[</w:t>
      </w:r>
      <w:r w:rsidRPr="001058BE">
        <w:rPr>
          <w:i/>
          <w:highlight w:val="yellow"/>
        </w:rPr>
        <w:t xml:space="preserve">because </w:t>
      </w:r>
      <w:r w:rsidR="001058BE" w:rsidRPr="001058BE">
        <w:rPr>
          <w:highlight w:val="yellow"/>
        </w:rPr>
        <w:t>[</w:t>
      </w:r>
      <w:r w:rsidR="001058BE" w:rsidRPr="001058BE">
        <w:rPr>
          <w:i/>
          <w:highlight w:val="yellow"/>
        </w:rPr>
        <w:t>I/we</w:t>
      </w:r>
      <w:r w:rsidR="001058BE" w:rsidRPr="001058BE">
        <w:rPr>
          <w:highlight w:val="yellow"/>
        </w:rPr>
        <w:t xml:space="preserve">] </w:t>
      </w:r>
      <w:r w:rsidRPr="001058BE">
        <w:rPr>
          <w:i/>
          <w:highlight w:val="yellow"/>
        </w:rPr>
        <w:t xml:space="preserve">intend to </w:t>
      </w:r>
      <w:r w:rsidRPr="00107D99">
        <w:rPr>
          <w:i/>
          <w:highlight w:val="yellow"/>
        </w:rPr>
        <w:t>redevelop all or part of the land to which the Agreement relates, or any neighbouring land, and could not reasonably do so unless the Agreement comes to an end</w:t>
      </w:r>
      <w:r w:rsidRPr="00107D99">
        <w:rPr>
          <w:highlight w:val="yellow"/>
        </w:rPr>
        <w:t>;]</w:t>
      </w:r>
    </w:p>
    <w:p w14:paraId="54220C2B" w14:textId="225870CF" w:rsidR="00095944" w:rsidRPr="00107D99" w:rsidRDefault="008F0A26" w:rsidP="001058BE">
      <w:pPr>
        <w:pStyle w:val="ListParagraph"/>
        <w:numPr>
          <w:ilvl w:val="1"/>
          <w:numId w:val="1"/>
        </w:numPr>
        <w:ind w:left="851" w:hanging="425"/>
        <w:jc w:val="both"/>
        <w:rPr>
          <w:highlight w:val="yellow"/>
        </w:rPr>
      </w:pPr>
      <w:r w:rsidRPr="00107D99">
        <w:rPr>
          <w:highlight w:val="yellow"/>
        </w:rPr>
        <w:t>[</w:t>
      </w:r>
      <w:r w:rsidRPr="00107D99">
        <w:rPr>
          <w:i/>
          <w:highlight w:val="yellow"/>
        </w:rPr>
        <w:t xml:space="preserve">because you are not </w:t>
      </w:r>
      <w:r w:rsidR="00095944" w:rsidRPr="00107D99">
        <w:rPr>
          <w:i/>
          <w:highlight w:val="yellow"/>
        </w:rPr>
        <w:t xml:space="preserve">entitled to the </w:t>
      </w:r>
      <w:r w:rsidRPr="00107D99">
        <w:rPr>
          <w:i/>
          <w:highlight w:val="yellow"/>
        </w:rPr>
        <w:t>A</w:t>
      </w:r>
      <w:r w:rsidR="00095944" w:rsidRPr="00107D99">
        <w:rPr>
          <w:i/>
          <w:highlight w:val="yellow"/>
        </w:rPr>
        <w:t>greement because the test under paragrap</w:t>
      </w:r>
      <w:r w:rsidRPr="00107D99">
        <w:rPr>
          <w:i/>
          <w:highlight w:val="yellow"/>
        </w:rPr>
        <w:t xml:space="preserve">h </w:t>
      </w:r>
      <w:r w:rsidR="00D87B37">
        <w:rPr>
          <w:i/>
          <w:highlight w:val="yellow"/>
        </w:rPr>
        <w:t>21</w:t>
      </w:r>
      <w:r w:rsidR="00D87B37" w:rsidRPr="00107D99">
        <w:rPr>
          <w:i/>
          <w:highlight w:val="yellow"/>
        </w:rPr>
        <w:t xml:space="preserve"> </w:t>
      </w:r>
      <w:r w:rsidR="004C282B">
        <w:rPr>
          <w:i/>
          <w:highlight w:val="yellow"/>
        </w:rPr>
        <w:t xml:space="preserve">of the Code </w:t>
      </w:r>
      <w:r w:rsidRPr="00107D99">
        <w:rPr>
          <w:i/>
          <w:highlight w:val="yellow"/>
        </w:rPr>
        <w:t>for the imposition of the A</w:t>
      </w:r>
      <w:r w:rsidR="00095944" w:rsidRPr="00107D99">
        <w:rPr>
          <w:i/>
          <w:highlight w:val="yellow"/>
        </w:rPr>
        <w:t xml:space="preserve">greement on </w:t>
      </w:r>
      <w:r w:rsidR="001058BE">
        <w:rPr>
          <w:i/>
          <w:highlight w:val="yellow"/>
        </w:rPr>
        <w:t>[</w:t>
      </w:r>
      <w:r w:rsidRPr="00107D99">
        <w:rPr>
          <w:i/>
          <w:highlight w:val="yellow"/>
        </w:rPr>
        <w:t>me</w:t>
      </w:r>
      <w:r w:rsidR="001058BE">
        <w:rPr>
          <w:i/>
          <w:highlight w:val="yellow"/>
        </w:rPr>
        <w:t>/us]</w:t>
      </w:r>
      <w:r w:rsidR="00095944" w:rsidRPr="00107D99">
        <w:rPr>
          <w:i/>
          <w:highlight w:val="yellow"/>
        </w:rPr>
        <w:t xml:space="preserve"> is not met</w:t>
      </w:r>
      <w:r w:rsidR="00095944" w:rsidRPr="00107D99">
        <w:rPr>
          <w:highlight w:val="yellow"/>
        </w:rPr>
        <w:t>.</w:t>
      </w:r>
      <w:r w:rsidRPr="00107D99">
        <w:rPr>
          <w:highlight w:val="yellow"/>
        </w:rPr>
        <w:t>]</w:t>
      </w:r>
    </w:p>
    <w:p w14:paraId="6CD25CBB" w14:textId="39A80158" w:rsidR="00095944" w:rsidRDefault="00095944" w:rsidP="001058BE">
      <w:pPr>
        <w:pStyle w:val="ListParagraph"/>
        <w:ind w:left="426"/>
        <w:jc w:val="both"/>
      </w:pPr>
    </w:p>
    <w:p w14:paraId="769DFE8D" w14:textId="35EC7B55" w:rsidR="007649D9" w:rsidRDefault="007649D9" w:rsidP="001058BE">
      <w:pPr>
        <w:pStyle w:val="ListParagraph"/>
        <w:numPr>
          <w:ilvl w:val="0"/>
          <w:numId w:val="1"/>
        </w:numPr>
        <w:ind w:left="426" w:hanging="426"/>
        <w:jc w:val="both"/>
      </w:pPr>
      <w:r>
        <w:t>In accordance with paragraph 3</w:t>
      </w:r>
      <w:r w:rsidR="003A4AF1">
        <w:t>2</w:t>
      </w:r>
      <w:r>
        <w:t xml:space="preserve"> of the Code, the Agreement should come to an end on the terms set out in this notice unless: </w:t>
      </w:r>
    </w:p>
    <w:p w14:paraId="7AB9F663" w14:textId="4C444651" w:rsidR="007649D9" w:rsidRDefault="007649D9" w:rsidP="001058BE">
      <w:pPr>
        <w:pStyle w:val="ListParagraph"/>
        <w:numPr>
          <w:ilvl w:val="1"/>
          <w:numId w:val="1"/>
        </w:numPr>
        <w:ind w:left="851" w:hanging="425"/>
        <w:jc w:val="both"/>
      </w:pPr>
      <w:r>
        <w:t xml:space="preserve">within the period of three months beginning with the day on which the notice is given, you give </w:t>
      </w:r>
      <w:r w:rsidR="001058BE">
        <w:t>[</w:t>
      </w:r>
      <w:r w:rsidRPr="001058BE">
        <w:rPr>
          <w:i/>
          <w:highlight w:val="yellow"/>
        </w:rPr>
        <w:t>me</w:t>
      </w:r>
      <w:r w:rsidR="001058BE" w:rsidRPr="001058BE">
        <w:rPr>
          <w:i/>
          <w:highlight w:val="yellow"/>
        </w:rPr>
        <w:t>/us</w:t>
      </w:r>
      <w:r w:rsidR="001058BE">
        <w:t>]</w:t>
      </w:r>
      <w:r>
        <w:t xml:space="preserve"> a counter-notice in accordance with paragraph 3</w:t>
      </w:r>
      <w:r w:rsidR="003A4AF1">
        <w:t>2</w:t>
      </w:r>
      <w:r>
        <w:t>(3) of the Code; and</w:t>
      </w:r>
    </w:p>
    <w:p w14:paraId="2EAEB8EF" w14:textId="724A747A" w:rsidR="007649D9" w:rsidRDefault="007649D9" w:rsidP="001058BE">
      <w:pPr>
        <w:pStyle w:val="ListParagraph"/>
        <w:numPr>
          <w:ilvl w:val="1"/>
          <w:numId w:val="1"/>
        </w:numPr>
        <w:ind w:left="851" w:hanging="425"/>
        <w:jc w:val="both"/>
      </w:pPr>
      <w:r>
        <w:t xml:space="preserve">within the period of three months beginning with the day on which the counter-notice is given, you apply to the court for an order under </w:t>
      </w:r>
      <w:r w:rsidR="00B257DD">
        <w:t xml:space="preserve">paragraph </w:t>
      </w:r>
      <w:r>
        <w:t>3</w:t>
      </w:r>
      <w:r w:rsidR="003A4AF1">
        <w:t>4</w:t>
      </w:r>
      <w:r>
        <w:t xml:space="preserve"> of the Code.</w:t>
      </w:r>
    </w:p>
    <w:p w14:paraId="7FD48BEE" w14:textId="7AE45711" w:rsidR="007649D9" w:rsidRDefault="007649D9" w:rsidP="007649D9">
      <w:pPr>
        <w:pStyle w:val="ListParagraph"/>
        <w:ind w:left="426"/>
      </w:pPr>
    </w:p>
    <w:p w14:paraId="7D485486" w14:textId="5983E75B" w:rsidR="001D7585" w:rsidRDefault="001D7585" w:rsidP="00C73489"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p w14:paraId="179C7B77" w14:textId="6A000C79" w:rsidR="00B257DD" w:rsidRDefault="00B257DD" w:rsidP="00095944">
      <w:pPr>
        <w:pStyle w:val="ListParagraph"/>
        <w:ind w:left="426"/>
      </w:pPr>
      <w:r w:rsidRPr="00B257DD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D5503" wp14:editId="64D183B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1500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FE18" w14:textId="281EEC2D" w:rsidR="00B257DD" w:rsidRPr="00F44057" w:rsidRDefault="00035783" w:rsidP="00B257DD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21FBA1A9" w14:textId="69EB7AB5" w:rsidR="00B257DD" w:rsidRDefault="00B257DD" w:rsidP="00B257DD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09CF7389" w14:textId="61A38A80" w:rsidR="00E71FA8" w:rsidRDefault="00E71FA8" w:rsidP="001058BE">
                            <w:pPr>
                              <w:pStyle w:val="ListParagraph"/>
                              <w:ind w:left="426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You may wish to obtain independent legal advice before completing this notice. </w:t>
                            </w:r>
                          </w:p>
                          <w:p w14:paraId="2EBA3D10" w14:textId="77777777" w:rsidR="00E71FA8" w:rsidRDefault="00E71FA8" w:rsidP="001058BE">
                            <w:pPr>
                              <w:pStyle w:val="ListParagraph"/>
                              <w:ind w:left="426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38CAE70" w14:textId="7014BA7F" w:rsidR="00B257DD" w:rsidRDefault="00035783" w:rsidP="001058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should be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delivered by hand</w:t>
                            </w:r>
                            <w:r>
                              <w:rPr>
                                <w:i/>
                              </w:rPr>
                              <w:t xml:space="preserve"> or sent by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registered post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recorded delivery</w:t>
                            </w:r>
                            <w:r>
                              <w:rPr>
                                <w:i/>
                              </w:rPr>
                              <w:t xml:space="preserve"> to the operator at:</w:t>
                            </w:r>
                          </w:p>
                          <w:p w14:paraId="66437D6A" w14:textId="2B89F84B" w:rsidR="00035783" w:rsidRPr="00C73489" w:rsidRDefault="00035783" w:rsidP="001058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the address for service that the operator has given to you for the purposes of the Code; or</w:t>
                            </w:r>
                          </w:p>
                          <w:p w14:paraId="14B8F622" w14:textId="55C2D03D" w:rsidR="00035783" w:rsidRDefault="00035783" w:rsidP="001058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if no such address has been given to you, at the address given by section 394 of the Communications Act 2003</w:t>
                            </w:r>
                            <w:r w:rsidRPr="00BB6D58">
                              <w:rPr>
                                <w:i/>
                              </w:rPr>
                              <w:t xml:space="preserve"> (</w:t>
                            </w:r>
                            <w:r w:rsidRPr="00C73489">
                              <w:rPr>
                                <w:i/>
                              </w:rPr>
                              <w:t xml:space="preserve">available online at </w:t>
                            </w:r>
                            <w:hyperlink r:id="rId11" w:history="1">
                              <w:r w:rsidRPr="00C73489">
                                <w:rPr>
                                  <w:rStyle w:val="Hyperlink"/>
                                  <w:i/>
                                </w:rPr>
                                <w:t>www.legislation.gov.uk</w:t>
                              </w:r>
                            </w:hyperlink>
                            <w:r w:rsidRPr="00C73489">
                              <w:rPr>
                                <w:rStyle w:val="Hyperlink"/>
                                <w:i/>
                              </w:rPr>
                              <w:t>).</w:t>
                            </w:r>
                          </w:p>
                          <w:p w14:paraId="4A85008A" w14:textId="77777777" w:rsidR="00035783" w:rsidRPr="00C73489" w:rsidRDefault="00035783" w:rsidP="001058BE">
                            <w:pPr>
                              <w:pStyle w:val="ListParagraph"/>
                              <w:ind w:left="1506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3A8D2593" w14:textId="2D637178" w:rsidR="00035783" w:rsidRDefault="00035783" w:rsidP="001058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Paragraph 3</w:t>
                            </w:r>
                            <w:r w:rsidR="003A4AF1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(3) of the Code provides that the date on which the Agreement is proposed to come to an end must fall:</w:t>
                            </w:r>
                          </w:p>
                          <w:p w14:paraId="333E7F72" w14:textId="77777777" w:rsidR="00035783" w:rsidRDefault="00035783" w:rsidP="00105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 xml:space="preserve">after the end of the period of 18 months beginning with the day on which this notice is given to </w:t>
                            </w:r>
                            <w:r>
                              <w:rPr>
                                <w:i/>
                              </w:rPr>
                              <w:t>the operator</w:t>
                            </w:r>
                            <w:r w:rsidRPr="00C73489">
                              <w:rPr>
                                <w:i/>
                              </w:rPr>
                              <w:t xml:space="preserve">;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and</w:t>
                            </w:r>
                            <w:r w:rsidRPr="00C73489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612B05BF" w14:textId="5B04D9E4" w:rsidR="00035783" w:rsidRPr="00C73489" w:rsidRDefault="00035783" w:rsidP="001058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 xml:space="preserve">after the time at which, apart from paragraph </w:t>
                            </w:r>
                            <w:r w:rsidR="003A4AF1">
                              <w:rPr>
                                <w:i/>
                              </w:rPr>
                              <w:t>30</w:t>
                            </w:r>
                            <w:r w:rsidRPr="00C73489">
                              <w:rPr>
                                <w:i/>
                              </w:rPr>
                              <w:t xml:space="preserve"> of the Code, the code right(s) to which the Agreement relates would have ceased to be exercisable or to bind </w:t>
                            </w:r>
                            <w:r>
                              <w:rPr>
                                <w:i/>
                              </w:rPr>
                              <w:t>you</w:t>
                            </w:r>
                            <w:r w:rsidRPr="00C73489">
                              <w:rPr>
                                <w:i/>
                              </w:rPr>
                              <w:t xml:space="preserve"> or at a time when, apart from that paragraph, the Agreement could have been brought to an end by </w:t>
                            </w:r>
                            <w:r>
                              <w:rPr>
                                <w:i/>
                              </w:rPr>
                              <w:t>you</w:t>
                            </w:r>
                            <w:r>
                              <w:t>.</w:t>
                            </w:r>
                          </w:p>
                          <w:p w14:paraId="0252DF53" w14:textId="17EF6E77" w:rsidR="00765F00" w:rsidRDefault="006B15C6" w:rsidP="001058BE">
                            <w:pPr>
                              <w:ind w:left="85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For the purposes of the first bullet point, t</w:t>
                            </w:r>
                            <w:r w:rsidR="00765F00">
                              <w:rPr>
                                <w:i/>
                              </w:rPr>
                              <w:t xml:space="preserve">he period of 18 months should not be calculated from the date of this notice, but from the date on which it is </w:t>
                            </w:r>
                            <w:r w:rsidR="00765F00" w:rsidRPr="00C73489">
                              <w:rPr>
                                <w:b/>
                                <w:i/>
                              </w:rPr>
                              <w:t>given</w:t>
                            </w:r>
                            <w:r w:rsidR="00765F00">
                              <w:rPr>
                                <w:i/>
                              </w:rPr>
                              <w:t xml:space="preserve"> to the operator.  If the notice is sent by post, it will be deemed to have been given to the operator </w:t>
                            </w:r>
                            <w:r w:rsidR="00765F00" w:rsidRPr="00765F00">
                              <w:rPr>
                                <w:i/>
                              </w:rPr>
                              <w:t xml:space="preserve">at the time at which </w:t>
                            </w:r>
                            <w:r w:rsidR="00765F00">
                              <w:rPr>
                                <w:i/>
                              </w:rPr>
                              <w:t>it</w:t>
                            </w:r>
                            <w:r w:rsidR="00765F00" w:rsidRPr="00765F00">
                              <w:rPr>
                                <w:i/>
                              </w:rPr>
                              <w:t xml:space="preserve"> would be delivered</w:t>
                            </w:r>
                            <w:r w:rsidR="00765F00">
                              <w:rPr>
                                <w:i/>
                              </w:rPr>
                              <w:t xml:space="preserve"> </w:t>
                            </w:r>
                            <w:r w:rsidR="00765F00" w:rsidRPr="00765F00">
                              <w:rPr>
                                <w:i/>
                              </w:rPr>
                              <w:t>in the ordinary course of post</w:t>
                            </w:r>
                            <w:r w:rsidR="00765F00">
                              <w:rPr>
                                <w:i/>
                              </w:rPr>
                              <w:t>.</w:t>
                            </w:r>
                          </w:p>
                          <w:p w14:paraId="52806D4A" w14:textId="684C217D" w:rsidR="00765F00" w:rsidRPr="00C73489" w:rsidRDefault="00765F00" w:rsidP="001058BE">
                            <w:pPr>
                              <w:ind w:left="851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In accordance with the second bullet point, </w:t>
                            </w:r>
                            <w:r w:rsidR="006B15C6">
                              <w:rPr>
                                <w:i/>
                              </w:rPr>
                              <w:t xml:space="preserve">one of the following conditions </w:t>
                            </w:r>
                            <w:r w:rsidR="006B15C6" w:rsidRPr="006B15C6">
                              <w:rPr>
                                <w:i/>
                              </w:rPr>
                              <w:t>must</w:t>
                            </w:r>
                            <w:r w:rsidR="006B15C6">
                              <w:rPr>
                                <w:i/>
                              </w:rPr>
                              <w:t xml:space="preserve"> apply on </w:t>
                            </w:r>
                            <w:r>
                              <w:rPr>
                                <w:i/>
                              </w:rPr>
                              <w:t>the date on which you propose the Agreement should come to an end</w:t>
                            </w:r>
                            <w:r w:rsidR="006B15C6">
                              <w:rPr>
                                <w:i/>
                              </w:rPr>
                              <w:t>: (i) the code right(s) to which the Agreement relates are no longer exercisable or no longer bind you</w:t>
                            </w:r>
                            <w:r w:rsidR="00E71FA8">
                              <w:rPr>
                                <w:i/>
                              </w:rPr>
                              <w:t xml:space="preserve"> (e.g. because the term of the Agreement has expired)</w:t>
                            </w:r>
                            <w:r w:rsidR="006B15C6">
                              <w:rPr>
                                <w:i/>
                              </w:rPr>
                              <w:t xml:space="preserve"> </w:t>
                            </w:r>
                            <w:r w:rsidR="006B15C6" w:rsidRPr="00C73489">
                              <w:rPr>
                                <w:b/>
                                <w:i/>
                              </w:rPr>
                              <w:t>or</w:t>
                            </w:r>
                            <w:r w:rsidR="00E71FA8">
                              <w:rPr>
                                <w:i/>
                              </w:rPr>
                              <w:t xml:space="preserve"> </w:t>
                            </w:r>
                            <w:r w:rsidR="006B15C6">
                              <w:rPr>
                                <w:i/>
                              </w:rPr>
                              <w:t>(ii)</w:t>
                            </w:r>
                            <w:r w:rsidR="00E71FA8">
                              <w:rPr>
                                <w:i/>
                              </w:rPr>
                              <w:t> </w:t>
                            </w:r>
                            <w:r w:rsidR="006B15C6">
                              <w:rPr>
                                <w:i/>
                              </w:rPr>
                              <w:t xml:space="preserve">you </w:t>
                            </w:r>
                            <w:r w:rsidR="00E71FA8">
                              <w:rPr>
                                <w:i/>
                              </w:rPr>
                              <w:t xml:space="preserve">are able to bring </w:t>
                            </w:r>
                            <w:r w:rsidR="006B15C6">
                              <w:rPr>
                                <w:i/>
                              </w:rPr>
                              <w:t>the Agreement to an end</w:t>
                            </w:r>
                            <w:r w:rsidR="00E71FA8">
                              <w:rPr>
                                <w:i/>
                              </w:rPr>
                              <w:t xml:space="preserve"> (e.g. by giving notice to terminate under the Agreement)</w:t>
                            </w:r>
                            <w:r w:rsidR="006B15C6">
                              <w:rPr>
                                <w:i/>
                              </w:rPr>
                              <w:t xml:space="preserve">. </w:t>
                            </w:r>
                            <w:r w:rsidR="00E71FA8">
                              <w:rPr>
                                <w:i/>
                              </w:rPr>
                              <w:t xml:space="preserve"> The effect of paragraph </w:t>
                            </w:r>
                            <w:r w:rsidR="00D87B37">
                              <w:rPr>
                                <w:i/>
                              </w:rPr>
                              <w:t xml:space="preserve">30 </w:t>
                            </w:r>
                            <w:r w:rsidR="00E71FA8">
                              <w:rPr>
                                <w:i/>
                              </w:rPr>
                              <w:t xml:space="preserve">of the Code should be disregarded in considering whether condition (i) or (ii) applies (paragraph </w:t>
                            </w:r>
                            <w:r w:rsidR="00D87B37">
                              <w:rPr>
                                <w:i/>
                              </w:rPr>
                              <w:t xml:space="preserve">30 </w:t>
                            </w:r>
                            <w:r w:rsidR="00E71FA8">
                              <w:rPr>
                                <w:i/>
                              </w:rPr>
                              <w:t>provides for the continuation of the Agreement</w:t>
                            </w:r>
                            <w:r w:rsidR="00956ACA">
                              <w:rPr>
                                <w:i/>
                              </w:rPr>
                              <w:t xml:space="preserve"> notwithstanding that, under its terms, the code right(s) are no longer exercisable or no longer bind you, or that you may bring the Agreement to an end).</w:t>
                            </w:r>
                          </w:p>
                          <w:p w14:paraId="36D26EDC" w14:textId="4BADA8A7" w:rsidR="00B257DD" w:rsidRPr="005E113B" w:rsidRDefault="00956ACA" w:rsidP="001058B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i/>
                              </w:rPr>
                            </w:pPr>
                            <w:r w:rsidRPr="005E113B">
                              <w:rPr>
                                <w:i/>
                              </w:rPr>
                              <w:t>The effect of paragraph 3</w:t>
                            </w:r>
                            <w:r w:rsidR="003A4AF1">
                              <w:rPr>
                                <w:i/>
                              </w:rPr>
                              <w:t>1</w:t>
                            </w:r>
                            <w:r w:rsidRPr="005E113B">
                              <w:rPr>
                                <w:i/>
                              </w:rPr>
                              <w:t xml:space="preserve">(4) of the Code is that the Agreement may only be brought to an end if one of the grounds set out in a. to d. applies.  Please delete as appropriate to </w:t>
                            </w:r>
                            <w:r w:rsidR="00EE0D97" w:rsidRPr="005E113B">
                              <w:rPr>
                                <w:i/>
                              </w:rPr>
                              <w:t>state</w:t>
                            </w:r>
                            <w:r w:rsidRPr="005E113B">
                              <w:rPr>
                                <w:i/>
                              </w:rPr>
                              <w:t xml:space="preserve"> the ground on which you propose to end the Agreement.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D5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">
                <v:textbox style="mso-fit-shape-to-text:t">
                  <w:txbxContent>
                    <w:p w14:paraId="2B8CFE18" w14:textId="281EEC2D" w:rsidR="00B257DD" w:rsidRPr="00F44057" w:rsidRDefault="00035783" w:rsidP="00B257DD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21FBA1A9" w14:textId="69EB7AB5" w:rsidR="00B257DD" w:rsidRDefault="00B257DD" w:rsidP="00B257DD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09CF7389" w14:textId="61A38A80" w:rsidR="00E71FA8" w:rsidRDefault="00E71FA8" w:rsidP="001058BE">
                      <w:pPr>
                        <w:pStyle w:val="ListParagraph"/>
                        <w:ind w:left="426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You may wish to obtain independent legal advice before completing this notice. </w:t>
                      </w:r>
                    </w:p>
                    <w:p w14:paraId="2EBA3D10" w14:textId="77777777" w:rsidR="00E71FA8" w:rsidRDefault="00E71FA8" w:rsidP="001058BE">
                      <w:pPr>
                        <w:pStyle w:val="ListParagraph"/>
                        <w:ind w:left="426"/>
                        <w:jc w:val="both"/>
                        <w:rPr>
                          <w:i/>
                        </w:rPr>
                      </w:pPr>
                    </w:p>
                    <w:p w14:paraId="338CAE70" w14:textId="7014BA7F" w:rsidR="00B257DD" w:rsidRDefault="00035783" w:rsidP="001058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should be </w:t>
                      </w:r>
                      <w:r w:rsidRPr="00C73489">
                        <w:rPr>
                          <w:b/>
                          <w:i/>
                        </w:rPr>
                        <w:t>delivered by hand</w:t>
                      </w:r>
                      <w:r>
                        <w:rPr>
                          <w:i/>
                        </w:rPr>
                        <w:t xml:space="preserve"> or sent by </w:t>
                      </w:r>
                      <w:r w:rsidRPr="00C73489">
                        <w:rPr>
                          <w:b/>
                          <w:i/>
                        </w:rPr>
                        <w:t>registered post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C73489">
                        <w:rPr>
                          <w:b/>
                          <w:i/>
                        </w:rPr>
                        <w:t>recorded delivery</w:t>
                      </w:r>
                      <w:r>
                        <w:rPr>
                          <w:i/>
                        </w:rPr>
                        <w:t xml:space="preserve"> to the operator at:</w:t>
                      </w:r>
                    </w:p>
                    <w:p w14:paraId="66437D6A" w14:textId="2B89F84B" w:rsidR="00035783" w:rsidRPr="00C73489" w:rsidRDefault="00035783" w:rsidP="001058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the address for service that the operator has given to you for the purposes of the Code; or</w:t>
                      </w:r>
                    </w:p>
                    <w:p w14:paraId="14B8F622" w14:textId="55C2D03D" w:rsidR="00035783" w:rsidRDefault="00035783" w:rsidP="001058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if no such address has been given to you, at the address given by section 394 of the Communications Act 2003</w:t>
                      </w:r>
                      <w:r w:rsidRPr="00BB6D58">
                        <w:rPr>
                          <w:i/>
                        </w:rPr>
                        <w:t xml:space="preserve"> (</w:t>
                      </w:r>
                      <w:r w:rsidRPr="00C73489">
                        <w:rPr>
                          <w:i/>
                        </w:rPr>
                        <w:t xml:space="preserve">available online at </w:t>
                      </w:r>
                      <w:hyperlink r:id="rId12" w:history="1">
                        <w:r w:rsidRPr="00C73489">
                          <w:rPr>
                            <w:rStyle w:val="Hyperlink"/>
                            <w:i/>
                          </w:rPr>
                          <w:t>www.legislation.gov.uk</w:t>
                        </w:r>
                      </w:hyperlink>
                      <w:r w:rsidRPr="00C73489">
                        <w:rPr>
                          <w:rStyle w:val="Hyperlink"/>
                          <w:i/>
                        </w:rPr>
                        <w:t>).</w:t>
                      </w:r>
                    </w:p>
                    <w:p w14:paraId="4A85008A" w14:textId="77777777" w:rsidR="00035783" w:rsidRPr="00C73489" w:rsidRDefault="00035783" w:rsidP="001058BE">
                      <w:pPr>
                        <w:pStyle w:val="ListParagraph"/>
                        <w:ind w:left="1506"/>
                        <w:jc w:val="both"/>
                        <w:rPr>
                          <w:i/>
                        </w:rPr>
                      </w:pPr>
                    </w:p>
                    <w:p w14:paraId="3A8D2593" w14:textId="2D637178" w:rsidR="00035783" w:rsidRDefault="00035783" w:rsidP="001058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Paragraph 3</w:t>
                      </w:r>
                      <w:r w:rsidR="003A4AF1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(3) of the Code provides that the date on which the Agreement is proposed to come to an end must fall:</w:t>
                      </w:r>
                    </w:p>
                    <w:p w14:paraId="333E7F72" w14:textId="77777777" w:rsidR="00035783" w:rsidRDefault="00035783" w:rsidP="00105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 xml:space="preserve">after the end of the period of 18 months beginning with the day on which this notice is given to </w:t>
                      </w:r>
                      <w:r>
                        <w:rPr>
                          <w:i/>
                        </w:rPr>
                        <w:t>the operator</w:t>
                      </w:r>
                      <w:r w:rsidRPr="00C73489">
                        <w:rPr>
                          <w:i/>
                        </w:rPr>
                        <w:t xml:space="preserve">; </w:t>
                      </w:r>
                      <w:r w:rsidRPr="00C73489">
                        <w:rPr>
                          <w:b/>
                          <w:i/>
                        </w:rPr>
                        <w:t>and</w:t>
                      </w:r>
                      <w:r w:rsidRPr="00C73489">
                        <w:rPr>
                          <w:i/>
                        </w:rPr>
                        <w:t xml:space="preserve"> </w:t>
                      </w:r>
                    </w:p>
                    <w:p w14:paraId="612B05BF" w14:textId="5B04D9E4" w:rsidR="00035783" w:rsidRPr="00C73489" w:rsidRDefault="00035783" w:rsidP="001058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 xml:space="preserve">after the time at which, apart from paragraph </w:t>
                      </w:r>
                      <w:r w:rsidR="003A4AF1">
                        <w:rPr>
                          <w:i/>
                        </w:rPr>
                        <w:t>30</w:t>
                      </w:r>
                      <w:r w:rsidRPr="00C73489">
                        <w:rPr>
                          <w:i/>
                        </w:rPr>
                        <w:t xml:space="preserve"> of the Code, the code right(s) to which the Agreement relates would have ceased to be exercisable or to bind </w:t>
                      </w:r>
                      <w:r>
                        <w:rPr>
                          <w:i/>
                        </w:rPr>
                        <w:t>you</w:t>
                      </w:r>
                      <w:r w:rsidRPr="00C73489">
                        <w:rPr>
                          <w:i/>
                        </w:rPr>
                        <w:t xml:space="preserve"> or at a time when, apart from that paragraph, the Agreement could have been brought to an end by </w:t>
                      </w:r>
                      <w:r>
                        <w:rPr>
                          <w:i/>
                        </w:rPr>
                        <w:t>you</w:t>
                      </w:r>
                      <w:r>
                        <w:t>.</w:t>
                      </w:r>
                    </w:p>
                    <w:p w14:paraId="0252DF53" w14:textId="17EF6E77" w:rsidR="00765F00" w:rsidRDefault="006B15C6" w:rsidP="001058BE">
                      <w:pPr>
                        <w:ind w:left="851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For the purposes of the first bullet point, t</w:t>
                      </w:r>
                      <w:r w:rsidR="00765F00">
                        <w:rPr>
                          <w:i/>
                        </w:rPr>
                        <w:t xml:space="preserve">he period of 18 months should not be calculated from the date of this notice, but from the date on which it is </w:t>
                      </w:r>
                      <w:r w:rsidR="00765F00" w:rsidRPr="00C73489">
                        <w:rPr>
                          <w:b/>
                          <w:i/>
                        </w:rPr>
                        <w:t>given</w:t>
                      </w:r>
                      <w:r w:rsidR="00765F00">
                        <w:rPr>
                          <w:i/>
                        </w:rPr>
                        <w:t xml:space="preserve"> to the operator.  If the notice is sent by post, it will be deemed to have been given to the operator </w:t>
                      </w:r>
                      <w:r w:rsidR="00765F00" w:rsidRPr="00765F00">
                        <w:rPr>
                          <w:i/>
                        </w:rPr>
                        <w:t xml:space="preserve">at the time at which </w:t>
                      </w:r>
                      <w:r w:rsidR="00765F00">
                        <w:rPr>
                          <w:i/>
                        </w:rPr>
                        <w:t>it</w:t>
                      </w:r>
                      <w:r w:rsidR="00765F00" w:rsidRPr="00765F00">
                        <w:rPr>
                          <w:i/>
                        </w:rPr>
                        <w:t xml:space="preserve"> would be delivered</w:t>
                      </w:r>
                      <w:r w:rsidR="00765F00">
                        <w:rPr>
                          <w:i/>
                        </w:rPr>
                        <w:t xml:space="preserve"> </w:t>
                      </w:r>
                      <w:r w:rsidR="00765F00" w:rsidRPr="00765F00">
                        <w:rPr>
                          <w:i/>
                        </w:rPr>
                        <w:t>in the ordinary course of post</w:t>
                      </w:r>
                      <w:r w:rsidR="00765F00">
                        <w:rPr>
                          <w:i/>
                        </w:rPr>
                        <w:t>.</w:t>
                      </w:r>
                    </w:p>
                    <w:p w14:paraId="52806D4A" w14:textId="684C217D" w:rsidR="00765F00" w:rsidRPr="00C73489" w:rsidRDefault="00765F00" w:rsidP="001058BE">
                      <w:pPr>
                        <w:ind w:left="851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In accordance with the second bullet point, </w:t>
                      </w:r>
                      <w:r w:rsidR="006B15C6">
                        <w:rPr>
                          <w:i/>
                        </w:rPr>
                        <w:t xml:space="preserve">one of the following conditions </w:t>
                      </w:r>
                      <w:r w:rsidR="006B15C6" w:rsidRPr="006B15C6">
                        <w:rPr>
                          <w:i/>
                        </w:rPr>
                        <w:t>must</w:t>
                      </w:r>
                      <w:r w:rsidR="006B15C6">
                        <w:rPr>
                          <w:i/>
                        </w:rPr>
                        <w:t xml:space="preserve"> apply on </w:t>
                      </w:r>
                      <w:r>
                        <w:rPr>
                          <w:i/>
                        </w:rPr>
                        <w:t>the date on which you propose the Agreement should come to an end</w:t>
                      </w:r>
                      <w:r w:rsidR="006B15C6">
                        <w:rPr>
                          <w:i/>
                        </w:rPr>
                        <w:t>: (i) the code right(s) to which the Agreement relates are no longer exercisable or no longer bind you</w:t>
                      </w:r>
                      <w:r w:rsidR="00E71FA8">
                        <w:rPr>
                          <w:i/>
                        </w:rPr>
                        <w:t xml:space="preserve"> (e.g. because the term of the Agreement has expired)</w:t>
                      </w:r>
                      <w:r w:rsidR="006B15C6">
                        <w:rPr>
                          <w:i/>
                        </w:rPr>
                        <w:t xml:space="preserve"> </w:t>
                      </w:r>
                      <w:r w:rsidR="006B15C6" w:rsidRPr="00C73489">
                        <w:rPr>
                          <w:b/>
                          <w:i/>
                        </w:rPr>
                        <w:t>or</w:t>
                      </w:r>
                      <w:r w:rsidR="00E71FA8">
                        <w:rPr>
                          <w:i/>
                        </w:rPr>
                        <w:t xml:space="preserve"> </w:t>
                      </w:r>
                      <w:r w:rsidR="006B15C6">
                        <w:rPr>
                          <w:i/>
                        </w:rPr>
                        <w:t>(ii)</w:t>
                      </w:r>
                      <w:r w:rsidR="00E71FA8">
                        <w:rPr>
                          <w:i/>
                        </w:rPr>
                        <w:t> </w:t>
                      </w:r>
                      <w:r w:rsidR="006B15C6">
                        <w:rPr>
                          <w:i/>
                        </w:rPr>
                        <w:t xml:space="preserve">you </w:t>
                      </w:r>
                      <w:r w:rsidR="00E71FA8">
                        <w:rPr>
                          <w:i/>
                        </w:rPr>
                        <w:t xml:space="preserve">are able to bring </w:t>
                      </w:r>
                      <w:r w:rsidR="006B15C6">
                        <w:rPr>
                          <w:i/>
                        </w:rPr>
                        <w:t>the Agreement to an end</w:t>
                      </w:r>
                      <w:r w:rsidR="00E71FA8">
                        <w:rPr>
                          <w:i/>
                        </w:rPr>
                        <w:t xml:space="preserve"> (e.g. by giving notice to terminate under the Agreement)</w:t>
                      </w:r>
                      <w:r w:rsidR="006B15C6">
                        <w:rPr>
                          <w:i/>
                        </w:rPr>
                        <w:t xml:space="preserve">. </w:t>
                      </w:r>
                      <w:r w:rsidR="00E71FA8">
                        <w:rPr>
                          <w:i/>
                        </w:rPr>
                        <w:t xml:space="preserve"> The effect of paragraph </w:t>
                      </w:r>
                      <w:r w:rsidR="00D87B37">
                        <w:rPr>
                          <w:i/>
                        </w:rPr>
                        <w:t xml:space="preserve">30 </w:t>
                      </w:r>
                      <w:r w:rsidR="00E71FA8">
                        <w:rPr>
                          <w:i/>
                        </w:rPr>
                        <w:t xml:space="preserve">of the Code should be disregarded in considering whether condition (i) or (ii) applies (paragraph </w:t>
                      </w:r>
                      <w:r w:rsidR="00D87B37">
                        <w:rPr>
                          <w:i/>
                        </w:rPr>
                        <w:t xml:space="preserve">30 </w:t>
                      </w:r>
                      <w:r w:rsidR="00E71FA8">
                        <w:rPr>
                          <w:i/>
                        </w:rPr>
                        <w:t>provides for the continuation of the Agreement</w:t>
                      </w:r>
                      <w:r w:rsidR="00956ACA">
                        <w:rPr>
                          <w:i/>
                        </w:rPr>
                        <w:t xml:space="preserve"> notwithstanding that, under its terms, the code right(s) are no longer exercisable or no longer bind you, or that you may bring the Agreement to an end).</w:t>
                      </w:r>
                    </w:p>
                    <w:p w14:paraId="36D26EDC" w14:textId="4BADA8A7" w:rsidR="00B257DD" w:rsidRPr="005E113B" w:rsidRDefault="00956ACA" w:rsidP="001058B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i/>
                        </w:rPr>
                      </w:pPr>
                      <w:r w:rsidRPr="005E113B">
                        <w:rPr>
                          <w:i/>
                        </w:rPr>
                        <w:t>The effect of paragraph 3</w:t>
                      </w:r>
                      <w:r w:rsidR="003A4AF1">
                        <w:rPr>
                          <w:i/>
                        </w:rPr>
                        <w:t>1</w:t>
                      </w:r>
                      <w:r w:rsidRPr="005E113B">
                        <w:rPr>
                          <w:i/>
                        </w:rPr>
                        <w:t xml:space="preserve">(4) of the Code is that the Agreement may only be brought to an end if one of the grounds set out in a. to d. applies.  Please delete as appropriate to </w:t>
                      </w:r>
                      <w:r w:rsidR="00EE0D97" w:rsidRPr="005E113B">
                        <w:rPr>
                          <w:i/>
                        </w:rPr>
                        <w:t>state</w:t>
                      </w:r>
                      <w:r w:rsidRPr="005E113B">
                        <w:rPr>
                          <w:i/>
                        </w:rPr>
                        <w:t xml:space="preserve"> the ground on which you propose to end the Agreement.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8F33B0" w14:textId="31D34FBD" w:rsidR="00B257DD" w:rsidRPr="00A73EC4" w:rsidRDefault="00B257DD" w:rsidP="00B257DD">
      <w:pPr>
        <w:pStyle w:val="ListParagraph"/>
        <w:ind w:left="426"/>
        <w:rPr>
          <w:i/>
        </w:rPr>
      </w:pPr>
    </w:p>
    <w:sectPr w:rsidR="00B257DD" w:rsidRPr="00A73E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C252" w14:textId="77777777" w:rsidR="00192492" w:rsidRDefault="00192492" w:rsidP="00192492">
      <w:pPr>
        <w:spacing w:after="0" w:line="240" w:lineRule="auto"/>
      </w:pPr>
      <w:r>
        <w:separator/>
      </w:r>
    </w:p>
  </w:endnote>
  <w:endnote w:type="continuationSeparator" w:id="0">
    <w:p w14:paraId="39BF9DE0" w14:textId="77777777" w:rsidR="00192492" w:rsidRDefault="00192492" w:rsidP="0019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F38D" w14:textId="77777777" w:rsidR="00802F3B" w:rsidRDefault="00802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3AE8" w14:textId="77777777" w:rsidR="00802F3B" w:rsidRDefault="00802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4923A" w14:textId="77777777" w:rsidR="00802F3B" w:rsidRDefault="00802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8071" w14:textId="77777777" w:rsidR="00192492" w:rsidRDefault="00192492" w:rsidP="00192492">
      <w:pPr>
        <w:spacing w:after="0" w:line="240" w:lineRule="auto"/>
      </w:pPr>
      <w:r>
        <w:separator/>
      </w:r>
    </w:p>
  </w:footnote>
  <w:footnote w:type="continuationSeparator" w:id="0">
    <w:p w14:paraId="4FBB66C5" w14:textId="77777777" w:rsidR="00192492" w:rsidRDefault="00192492" w:rsidP="00192492">
      <w:pPr>
        <w:spacing w:after="0" w:line="240" w:lineRule="auto"/>
      </w:pPr>
      <w:r>
        <w:continuationSeparator/>
      </w:r>
    </w:p>
  </w:footnote>
  <w:footnote w:id="1">
    <w:p w14:paraId="163F1B65" w14:textId="77777777" w:rsidR="00192492" w:rsidRDefault="00192492" w:rsidP="00192492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74D2" w14:textId="77777777" w:rsidR="00802F3B" w:rsidRDefault="00802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4DCE" w14:textId="77777777" w:rsidR="00802F3B" w:rsidRDefault="00802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E3B8E" w14:textId="77777777" w:rsidR="00802F3B" w:rsidRDefault="00802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3E66A6F"/>
    <w:multiLevelType w:val="hybridMultilevel"/>
    <w:tmpl w:val="FA1485B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92"/>
    <w:rsid w:val="00002705"/>
    <w:rsid w:val="00035783"/>
    <w:rsid w:val="00095944"/>
    <w:rsid w:val="0010014E"/>
    <w:rsid w:val="001058BE"/>
    <w:rsid w:val="00107D99"/>
    <w:rsid w:val="00192492"/>
    <w:rsid w:val="001D7585"/>
    <w:rsid w:val="00221A7A"/>
    <w:rsid w:val="00287B80"/>
    <w:rsid w:val="00305B9C"/>
    <w:rsid w:val="00344263"/>
    <w:rsid w:val="00373A8D"/>
    <w:rsid w:val="003964F5"/>
    <w:rsid w:val="003A4AF1"/>
    <w:rsid w:val="003B05CD"/>
    <w:rsid w:val="003E21E6"/>
    <w:rsid w:val="00432300"/>
    <w:rsid w:val="00457B96"/>
    <w:rsid w:val="00465B55"/>
    <w:rsid w:val="004B487A"/>
    <w:rsid w:val="004C282B"/>
    <w:rsid w:val="00516BFF"/>
    <w:rsid w:val="0054010A"/>
    <w:rsid w:val="005C3018"/>
    <w:rsid w:val="005E113B"/>
    <w:rsid w:val="006641E2"/>
    <w:rsid w:val="006922BC"/>
    <w:rsid w:val="006B15C6"/>
    <w:rsid w:val="007649D9"/>
    <w:rsid w:val="00765F00"/>
    <w:rsid w:val="007C034B"/>
    <w:rsid w:val="00802F3B"/>
    <w:rsid w:val="008C4BEB"/>
    <w:rsid w:val="008E0403"/>
    <w:rsid w:val="008F0A26"/>
    <w:rsid w:val="009310C6"/>
    <w:rsid w:val="00956ACA"/>
    <w:rsid w:val="00970AAB"/>
    <w:rsid w:val="00A67563"/>
    <w:rsid w:val="00A73EC4"/>
    <w:rsid w:val="00A8647F"/>
    <w:rsid w:val="00AF67E4"/>
    <w:rsid w:val="00B257DD"/>
    <w:rsid w:val="00B328AB"/>
    <w:rsid w:val="00B70086"/>
    <w:rsid w:val="00BB6D58"/>
    <w:rsid w:val="00C43B6D"/>
    <w:rsid w:val="00C73489"/>
    <w:rsid w:val="00CC1A0C"/>
    <w:rsid w:val="00CE5640"/>
    <w:rsid w:val="00D43BC1"/>
    <w:rsid w:val="00D52902"/>
    <w:rsid w:val="00D6581C"/>
    <w:rsid w:val="00D84BF9"/>
    <w:rsid w:val="00D87B37"/>
    <w:rsid w:val="00DE0128"/>
    <w:rsid w:val="00E14EEC"/>
    <w:rsid w:val="00E71FA8"/>
    <w:rsid w:val="00EB0CE7"/>
    <w:rsid w:val="00EE0D97"/>
    <w:rsid w:val="00EE43A8"/>
    <w:rsid w:val="00F44057"/>
    <w:rsid w:val="00F821F1"/>
    <w:rsid w:val="00F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3B34FA"/>
  <w15:chartTrackingRefBased/>
  <w15:docId w15:val="{06FCF2BB-DC8A-428B-8C58-17E25CDD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49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4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24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49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4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49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1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A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A0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BF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84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BF9"/>
    <w:rPr>
      <w:rFonts w:ascii="Arial" w:hAnsi="Arial"/>
    </w:rPr>
  </w:style>
  <w:style w:type="paragraph" w:styleId="Revision">
    <w:name w:val="Revision"/>
    <w:hidden/>
    <w:uiPriority w:val="99"/>
    <w:semiHidden/>
    <w:rsid w:val="00EE0D9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988E3497602937438538C97EF579A45E00158289D97FD8834AA7A3814BAD42DE57" ma:contentTypeVersion="3" ma:contentTypeDescription="Short term documents supporting project or function" ma:contentTypeScope="" ma:versionID="33690fd0e61cf5c96bff459ffea8c990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D427-48E0-4CB5-B9B4-A85A32FDC2CD}">
  <ds:schemaRefs>
    <ds:schemaRef ds:uri="c3463203-b8bf-41ec-804f-6244baab8e3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b78cb0a-34de-4e01-bbe0-88a1b7d3961c"/>
    <ds:schemaRef ds:uri="http://schemas.microsoft.com/office/2006/metadata/properties"/>
    <ds:schemaRef ds:uri="http://purl.org/dc/elements/1.1/"/>
    <ds:schemaRef ds:uri="341f3a21-500e-418d-b220-102a9842a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B09BE-980D-4F3C-961B-4F28F8EBB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17901-870E-477A-AF29-FEE02372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84EFC-9C19-441B-8A9A-5CB39193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6</cp:revision>
  <cp:lastPrinted>2016-12-08T14:55:00Z</cp:lastPrinted>
  <dcterms:created xsi:type="dcterms:W3CDTF">2017-12-04T12:21:00Z</dcterms:created>
  <dcterms:modified xsi:type="dcterms:W3CDTF">2017-12-11T16:55:00Z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0x010100988E3497602937438538C97EF579A45E00158289D97FD8834AA7A3814BAD42DE57</vt:lpwstr>
  </property>
</Properties>
</file>