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7CADD" w14:textId="77777777" w:rsidR="006062FD" w:rsidRDefault="006062FD" w:rsidP="006062FD">
      <w:pPr>
        <w:jc w:val="center"/>
        <w:rPr>
          <w:b/>
        </w:rPr>
      </w:pPr>
      <w:bookmarkStart w:id="0" w:name="_GoBack"/>
      <w:bookmarkEnd w:id="0"/>
    </w:p>
    <w:p w14:paraId="31A4475F" w14:textId="77777777" w:rsidR="00662586" w:rsidRDefault="00662586" w:rsidP="00662586">
      <w:pPr>
        <w:jc w:val="center"/>
        <w:rPr>
          <w:b/>
        </w:rPr>
      </w:pPr>
      <w:r w:rsidRPr="00EB5FFA">
        <w:rPr>
          <w:b/>
        </w:rPr>
        <w:t>STATUTORY NOTICE</w:t>
      </w:r>
      <w:r>
        <w:rPr>
          <w:b/>
        </w:rPr>
        <w:t xml:space="preserve"> </w:t>
      </w:r>
    </w:p>
    <w:p w14:paraId="0652CB1A" w14:textId="34C78CB3" w:rsidR="00662586" w:rsidRDefault="00662586" w:rsidP="00662586">
      <w:pPr>
        <w:spacing w:after="0" w:line="240" w:lineRule="auto"/>
        <w:jc w:val="center"/>
        <w:rPr>
          <w:b/>
        </w:rPr>
      </w:pPr>
      <w:r>
        <w:rPr>
          <w:b/>
        </w:rPr>
        <w:t>REGARDING NON-EMERGENCY UNDERTAKER</w:t>
      </w:r>
      <w:r w:rsidR="00C053E7">
        <w:rPr>
          <w:b/>
        </w:rPr>
        <w:t>’</w:t>
      </w:r>
      <w:r>
        <w:rPr>
          <w:b/>
        </w:rPr>
        <w:t>S WORKS WHICH INTERFERE WITH AN ELECTRONIC COMMUNICATIONS NETWORK</w:t>
      </w:r>
    </w:p>
    <w:p w14:paraId="7DF40F9D" w14:textId="40CF2910" w:rsidR="001065FD" w:rsidRDefault="001065FD" w:rsidP="00662586">
      <w:pPr>
        <w:spacing w:after="0" w:line="240" w:lineRule="auto"/>
        <w:jc w:val="center"/>
        <w:rPr>
          <w:b/>
        </w:rPr>
      </w:pPr>
    </w:p>
    <w:p w14:paraId="6667307D" w14:textId="389D409C" w:rsidR="001065FD" w:rsidRPr="00EB5FFA" w:rsidRDefault="001065FD" w:rsidP="00662586">
      <w:pPr>
        <w:spacing w:after="0" w:line="240" w:lineRule="auto"/>
        <w:jc w:val="center"/>
        <w:rPr>
          <w:b/>
        </w:rPr>
      </w:pPr>
      <w:r>
        <w:rPr>
          <w:b/>
        </w:rPr>
        <w:t>Paragraph 6</w:t>
      </w:r>
      <w:r w:rsidR="00877DE0">
        <w:rPr>
          <w:b/>
        </w:rPr>
        <w:t>7</w:t>
      </w:r>
      <w:r>
        <w:rPr>
          <w:b/>
        </w:rPr>
        <w:t>(1) of Part 10 of Schedule 3</w:t>
      </w:r>
      <w:r w:rsidR="00DC696C">
        <w:rPr>
          <w:b/>
        </w:rPr>
        <w:t>A</w:t>
      </w:r>
      <w:r>
        <w:rPr>
          <w:b/>
        </w:rPr>
        <w:t xml:space="preserve"> of the Communications Act 2003</w:t>
      </w:r>
    </w:p>
    <w:p w14:paraId="314651C7" w14:textId="77777777" w:rsidR="00662586" w:rsidRDefault="00662586" w:rsidP="00662586">
      <w:pPr>
        <w:pStyle w:val="ListParagraph"/>
        <w:ind w:left="426"/>
      </w:pPr>
    </w:p>
    <w:p w14:paraId="71BC1502" w14:textId="03C47C03" w:rsidR="00662586" w:rsidRDefault="00662586" w:rsidP="00662586">
      <w:pPr>
        <w:pStyle w:val="ListParagraph"/>
        <w:numPr>
          <w:ilvl w:val="0"/>
          <w:numId w:val="1"/>
        </w:numPr>
        <w:ind w:left="426" w:hanging="426"/>
        <w:jc w:val="both"/>
      </w:pPr>
      <w:r>
        <w:t>This is a statutory</w:t>
      </w:r>
      <w:r w:rsidR="001065FD">
        <w:t xml:space="preserve"> notice pursuant to paragraph 6</w:t>
      </w:r>
      <w:r w:rsidR="00A71B47">
        <w:t>7</w:t>
      </w:r>
      <w:r>
        <w:t>(1) of the electronic communications code, set out in Schedule 3A to the Communications Act 2003 (the “</w:t>
      </w:r>
      <w:r w:rsidRPr="00B91EBB">
        <w:rPr>
          <w:b/>
        </w:rPr>
        <w:t>Code</w:t>
      </w:r>
      <w:r>
        <w:t>”).</w:t>
      </w:r>
      <w:r>
        <w:rPr>
          <w:rStyle w:val="FootnoteReference"/>
        </w:rPr>
        <w:footnoteReference w:id="1"/>
      </w:r>
      <w:r w:rsidR="00940548">
        <w:t xml:space="preserve"> </w:t>
      </w:r>
      <w:r w:rsidR="00940548" w:rsidRPr="00C73489">
        <w:rPr>
          <w:b/>
          <w:vertAlign w:val="superscript"/>
        </w:rPr>
        <w:t>[see note (a)]</w:t>
      </w:r>
    </w:p>
    <w:p w14:paraId="577EE623" w14:textId="77777777" w:rsidR="00662586" w:rsidRDefault="00662586" w:rsidP="00662586">
      <w:pPr>
        <w:pStyle w:val="ListParagraph"/>
        <w:ind w:left="142" w:hanging="284"/>
        <w:jc w:val="both"/>
      </w:pPr>
    </w:p>
    <w:p w14:paraId="7466C3FD" w14:textId="05A20430" w:rsidR="00940548" w:rsidRDefault="00662586" w:rsidP="00D10DB2">
      <w:pPr>
        <w:pStyle w:val="ListParagraph"/>
        <w:numPr>
          <w:ilvl w:val="0"/>
          <w:numId w:val="1"/>
        </w:numPr>
        <w:ind w:left="426" w:hanging="426"/>
        <w:jc w:val="both"/>
      </w:pPr>
      <w:r>
        <w:t>The purpose of this notice is to inform you that we, [</w:t>
      </w:r>
      <w:r w:rsidRPr="00662586">
        <w:rPr>
          <w:i/>
          <w:highlight w:val="yellow"/>
        </w:rPr>
        <w:t>Insert name of undertaker</w:t>
      </w:r>
      <w:r>
        <w:t>] intend to carry out non-emergency works</w:t>
      </w:r>
      <w:r w:rsidR="00CF7E3D">
        <w:t xml:space="preserve"> </w:t>
      </w:r>
      <w:r>
        <w:t>at [</w:t>
      </w:r>
      <w:r w:rsidRPr="00662586">
        <w:rPr>
          <w:i/>
          <w:highlight w:val="yellow"/>
        </w:rPr>
        <w:t xml:space="preserve">Insert </w:t>
      </w:r>
      <w:r w:rsidRPr="00121A9E">
        <w:rPr>
          <w:i/>
          <w:highlight w:val="yellow"/>
        </w:rPr>
        <w:t>address</w:t>
      </w:r>
      <w:r w:rsidR="00121A9E" w:rsidRPr="00121A9E">
        <w:rPr>
          <w:i/>
          <w:highlight w:val="yellow"/>
        </w:rPr>
        <w:t>, and any other relevant description</w:t>
      </w:r>
      <w:r>
        <w:t>] (the “</w:t>
      </w:r>
      <w:r w:rsidRPr="00662586">
        <w:rPr>
          <w:b/>
        </w:rPr>
        <w:t>Land</w:t>
      </w:r>
      <w:r>
        <w:t>”).</w:t>
      </w:r>
      <w:r w:rsidR="00940548">
        <w:t xml:space="preserve"> </w:t>
      </w:r>
      <w:r w:rsidR="00940548" w:rsidRPr="00C73489">
        <w:rPr>
          <w:b/>
          <w:vertAlign w:val="superscript"/>
        </w:rPr>
        <w:t>[see note (</w:t>
      </w:r>
      <w:r w:rsidR="008D1A2F">
        <w:rPr>
          <w:b/>
          <w:vertAlign w:val="superscript"/>
        </w:rPr>
        <w:t>b</w:t>
      </w:r>
      <w:r w:rsidR="00940548" w:rsidRPr="00C73489">
        <w:rPr>
          <w:b/>
          <w:vertAlign w:val="superscript"/>
        </w:rPr>
        <w:t>)]</w:t>
      </w:r>
    </w:p>
    <w:p w14:paraId="1310A1A9" w14:textId="77777777" w:rsidR="00940548" w:rsidRDefault="00940548" w:rsidP="00940548">
      <w:pPr>
        <w:pStyle w:val="ListParagraph"/>
        <w:ind w:left="426"/>
        <w:jc w:val="both"/>
      </w:pPr>
    </w:p>
    <w:p w14:paraId="4940E607" w14:textId="4A826830" w:rsidR="00D10DB2" w:rsidRDefault="00662586" w:rsidP="00D10DB2">
      <w:pPr>
        <w:pStyle w:val="ListParagraph"/>
        <w:numPr>
          <w:ilvl w:val="0"/>
          <w:numId w:val="1"/>
        </w:numPr>
        <w:ind w:left="426" w:hanging="426"/>
        <w:jc w:val="both"/>
      </w:pPr>
      <w:r>
        <w:t>These works will involve, or are likely to involve, an alteration of electronic communications apparatus kept by you, [</w:t>
      </w:r>
      <w:r w:rsidRPr="00662586">
        <w:rPr>
          <w:i/>
          <w:highlight w:val="yellow"/>
        </w:rPr>
        <w:t>Insert name of Code operator</w:t>
      </w:r>
      <w:r>
        <w:t>] on, under or over the Land for the purposes of your network.</w:t>
      </w:r>
    </w:p>
    <w:p w14:paraId="35A9EDC0" w14:textId="1EB96F12" w:rsidR="00D10DB2" w:rsidRDefault="00D10DB2" w:rsidP="00D10DB2">
      <w:pPr>
        <w:jc w:val="both"/>
      </w:pPr>
      <w:r>
        <w:rPr>
          <w:u w:val="single"/>
        </w:rPr>
        <w:t>THE PROPOSED WORKS AND ALTERATIONS</w:t>
      </w:r>
    </w:p>
    <w:p w14:paraId="0EB8C697" w14:textId="33F9FDCD" w:rsidR="00D10DB2" w:rsidRDefault="00D10DB2" w:rsidP="00662586">
      <w:pPr>
        <w:pStyle w:val="ListParagraph"/>
        <w:numPr>
          <w:ilvl w:val="0"/>
          <w:numId w:val="1"/>
        </w:numPr>
        <w:ind w:left="426" w:hanging="426"/>
        <w:jc w:val="both"/>
      </w:pPr>
      <w:r>
        <w:t>We propose to [</w:t>
      </w:r>
      <w:r w:rsidRPr="00D10DB2">
        <w:rPr>
          <w:i/>
          <w:highlight w:val="yellow"/>
        </w:rPr>
        <w:t xml:space="preserve">Insert details of the proposed </w:t>
      </w:r>
      <w:r w:rsidR="00940548">
        <w:rPr>
          <w:i/>
          <w:highlight w:val="yellow"/>
        </w:rPr>
        <w:t xml:space="preserve">non-emergency </w:t>
      </w:r>
      <w:r w:rsidRPr="00D10DB2">
        <w:rPr>
          <w:i/>
          <w:highlight w:val="yellow"/>
        </w:rPr>
        <w:t>works, with more detail in an annex if necessary</w:t>
      </w:r>
      <w:r>
        <w:t>]</w:t>
      </w:r>
      <w:r w:rsidR="001606C3">
        <w:t xml:space="preserve"> (the “</w:t>
      </w:r>
      <w:r w:rsidR="001606C3" w:rsidRPr="00121A9E">
        <w:rPr>
          <w:b/>
        </w:rPr>
        <w:t>Proposed Works</w:t>
      </w:r>
      <w:r w:rsidR="001606C3">
        <w:t>”). These w</w:t>
      </w:r>
      <w:r w:rsidR="00CF7E3D">
        <w:t>orks will begin on [</w:t>
      </w:r>
      <w:r w:rsidR="00CF7E3D" w:rsidRPr="00CF7E3D">
        <w:rPr>
          <w:i/>
          <w:highlight w:val="yellow"/>
        </w:rPr>
        <w:t>Insert date</w:t>
      </w:r>
      <w:r w:rsidR="00B33041">
        <w:t xml:space="preserve">] at </w:t>
      </w:r>
      <w:r w:rsidR="001065FD">
        <w:t>[</w:t>
      </w:r>
      <w:r w:rsidR="00B33041" w:rsidRPr="001065FD">
        <w:rPr>
          <w:i/>
          <w:highlight w:val="yellow"/>
        </w:rPr>
        <w:t>the location specified in paragraph 2 above</w:t>
      </w:r>
      <w:r w:rsidR="001065FD">
        <w:t>]</w:t>
      </w:r>
      <w:r w:rsidR="00CF7E3D">
        <w:t>.</w:t>
      </w:r>
    </w:p>
    <w:p w14:paraId="69C23BE0" w14:textId="77777777" w:rsidR="00D10DB2" w:rsidRDefault="00D10DB2" w:rsidP="00D10DB2">
      <w:pPr>
        <w:pStyle w:val="ListParagraph"/>
        <w:ind w:left="426"/>
        <w:jc w:val="both"/>
      </w:pPr>
    </w:p>
    <w:p w14:paraId="0FF9A60E" w14:textId="58F954A2" w:rsidR="00662586" w:rsidRDefault="00D10DB2" w:rsidP="00662586">
      <w:pPr>
        <w:pStyle w:val="ListParagraph"/>
        <w:numPr>
          <w:ilvl w:val="0"/>
          <w:numId w:val="1"/>
        </w:numPr>
        <w:ind w:left="426" w:hanging="426"/>
        <w:jc w:val="both"/>
      </w:pPr>
      <w:r>
        <w:t>The</w:t>
      </w:r>
      <w:r w:rsidR="001606C3">
        <w:t xml:space="preserve"> Propo</w:t>
      </w:r>
      <w:r>
        <w:t>se</w:t>
      </w:r>
      <w:r w:rsidR="001606C3">
        <w:t>d W</w:t>
      </w:r>
      <w:r>
        <w:t>orks [</w:t>
      </w:r>
      <w:r w:rsidRPr="00D10DB2">
        <w:rPr>
          <w:i/>
          <w:highlight w:val="yellow"/>
        </w:rPr>
        <w:t>will involve / are likely to involve</w:t>
      </w:r>
      <w:r>
        <w:t xml:space="preserve">] the alteration of </w:t>
      </w:r>
      <w:r w:rsidR="00E45AEB">
        <w:t xml:space="preserve">the electronic communications apparatus specified in </w:t>
      </w:r>
      <w:r w:rsidR="00307045">
        <w:t>the Annex</w:t>
      </w:r>
      <w:r w:rsidR="00E45AEB">
        <w:t xml:space="preserve"> to this notice in the manner specified in that Annex. This alteration would be </w:t>
      </w:r>
      <w:r w:rsidR="00662586">
        <w:t>[</w:t>
      </w:r>
      <w:r w:rsidR="00662586" w:rsidRPr="00662586">
        <w:rPr>
          <w:i/>
          <w:highlight w:val="yellow"/>
        </w:rPr>
        <w:t>permanent / temporary</w:t>
      </w:r>
      <w:r w:rsidR="00662586">
        <w:t>].</w:t>
      </w:r>
    </w:p>
    <w:p w14:paraId="618A1543" w14:textId="77777777" w:rsidR="00662586" w:rsidRPr="00E64A0E" w:rsidRDefault="00662586" w:rsidP="00662586">
      <w:pPr>
        <w:jc w:val="both"/>
        <w:rPr>
          <w:u w:val="single"/>
        </w:rPr>
      </w:pPr>
      <w:r w:rsidRPr="00E64A0E">
        <w:rPr>
          <w:u w:val="single"/>
        </w:rPr>
        <w:t>YOUR OPTIONS</w:t>
      </w:r>
    </w:p>
    <w:p w14:paraId="3276F6AC" w14:textId="3F915618" w:rsidR="00CF7E3D" w:rsidRDefault="008C7D09" w:rsidP="00662586">
      <w:pPr>
        <w:pStyle w:val="ListParagraph"/>
        <w:numPr>
          <w:ilvl w:val="0"/>
          <w:numId w:val="1"/>
        </w:numPr>
        <w:ind w:left="426" w:hanging="426"/>
        <w:jc w:val="both"/>
      </w:pPr>
      <w:r>
        <w:t>Y</w:t>
      </w:r>
      <w:r w:rsidR="00662586">
        <w:t>ou are</w:t>
      </w:r>
      <w:r w:rsidR="009B34E9">
        <w:t xml:space="preserve"> </w:t>
      </w:r>
      <w:r w:rsidR="00662586">
        <w:t xml:space="preserve">entitled, within the period of </w:t>
      </w:r>
      <w:r w:rsidR="00CF7E3D">
        <w:t>10</w:t>
      </w:r>
      <w:r w:rsidR="00662586">
        <w:t xml:space="preserve"> days beginning with the day on which this notice is given (the “</w:t>
      </w:r>
      <w:r w:rsidR="00662586" w:rsidRPr="002A1F71">
        <w:rPr>
          <w:b/>
        </w:rPr>
        <w:t>notice period</w:t>
      </w:r>
      <w:r w:rsidR="00662586">
        <w:t xml:space="preserve">”), to give us </w:t>
      </w:r>
      <w:r w:rsidR="00CF7E3D">
        <w:t>a c</w:t>
      </w:r>
      <w:r w:rsidR="001065FD">
        <w:t>ounter-notice under paragraph 6</w:t>
      </w:r>
      <w:r w:rsidR="00A71B47">
        <w:t>8</w:t>
      </w:r>
      <w:r w:rsidR="00CF7E3D">
        <w:t xml:space="preserve">(2) of the Code. Such a counter-notice can state either: </w:t>
      </w:r>
    </w:p>
    <w:p w14:paraId="0E7B5EA3" w14:textId="72A0C146" w:rsidR="00CF7E3D" w:rsidRDefault="001606C3" w:rsidP="001606C3">
      <w:pPr>
        <w:pStyle w:val="ListParagraph"/>
        <w:numPr>
          <w:ilvl w:val="1"/>
          <w:numId w:val="1"/>
        </w:numPr>
        <w:jc w:val="both"/>
      </w:pPr>
      <w:r>
        <w:t>that you require us to make any alteration of the electronic communications apparatus that is necessary or expedient because of the Proposed Works under your supervision and to your satisfaction; or</w:t>
      </w:r>
    </w:p>
    <w:p w14:paraId="375681BA" w14:textId="26BC3168" w:rsidR="001606C3" w:rsidRDefault="001606C3" w:rsidP="001606C3">
      <w:pPr>
        <w:pStyle w:val="ListParagraph"/>
        <w:numPr>
          <w:ilvl w:val="1"/>
          <w:numId w:val="1"/>
        </w:numPr>
        <w:jc w:val="both"/>
      </w:pPr>
      <w:r>
        <w:t>that you intend to make any alteration of the electronic communications apparatus that is necessary or expedient because of the Proposed Works.</w:t>
      </w:r>
      <w:r w:rsidR="000700F8">
        <w:rPr>
          <w:rStyle w:val="FootnoteReference"/>
        </w:rPr>
        <w:footnoteReference w:id="2"/>
      </w:r>
      <w:r w:rsidR="00CD50E0">
        <w:t xml:space="preserve"> </w:t>
      </w:r>
    </w:p>
    <w:p w14:paraId="2CFE34D5" w14:textId="77777777" w:rsidR="00CF7E3D" w:rsidRDefault="00CF7E3D" w:rsidP="00CF7E3D">
      <w:pPr>
        <w:pStyle w:val="ListParagraph"/>
        <w:ind w:left="426"/>
        <w:jc w:val="both"/>
      </w:pPr>
    </w:p>
    <w:p w14:paraId="4F4091CF" w14:textId="5C216D5D" w:rsidR="009810CF" w:rsidRDefault="00CF7E3D" w:rsidP="002B3686">
      <w:pPr>
        <w:pStyle w:val="ListParagraph"/>
        <w:numPr>
          <w:ilvl w:val="0"/>
          <w:numId w:val="1"/>
        </w:numPr>
        <w:ind w:left="426" w:hanging="426"/>
        <w:jc w:val="both"/>
      </w:pPr>
      <w:r>
        <w:t>We must not begin the proposed works (including the proposed alteration of your electronic communications apparatus) until the notice p</w:t>
      </w:r>
      <w:r w:rsidR="009810CF">
        <w:t xml:space="preserve">eriod has ended. </w:t>
      </w:r>
      <w:r w:rsidR="008D1A2F" w:rsidRPr="00C73489">
        <w:rPr>
          <w:b/>
          <w:vertAlign w:val="superscript"/>
        </w:rPr>
        <w:t>[see note (</w:t>
      </w:r>
      <w:r w:rsidR="008D1A2F">
        <w:rPr>
          <w:b/>
          <w:vertAlign w:val="superscript"/>
        </w:rPr>
        <w:t>c</w:t>
      </w:r>
      <w:r w:rsidR="008D1A2F" w:rsidRPr="00C73489">
        <w:rPr>
          <w:b/>
          <w:vertAlign w:val="superscript"/>
        </w:rPr>
        <w:t>)]</w:t>
      </w:r>
    </w:p>
    <w:p w14:paraId="100B167D" w14:textId="77777777" w:rsidR="009810CF" w:rsidRDefault="009810CF" w:rsidP="009810CF">
      <w:pPr>
        <w:pStyle w:val="ListParagraph"/>
        <w:ind w:left="426"/>
        <w:jc w:val="both"/>
      </w:pPr>
    </w:p>
    <w:p w14:paraId="549C77F9" w14:textId="45A09DAD" w:rsidR="008C7D09" w:rsidRDefault="009810CF" w:rsidP="00946A24">
      <w:pPr>
        <w:pStyle w:val="ListParagraph"/>
        <w:numPr>
          <w:ilvl w:val="0"/>
          <w:numId w:val="1"/>
        </w:numPr>
        <w:ind w:left="426" w:hanging="426"/>
        <w:jc w:val="both"/>
      </w:pPr>
      <w:r>
        <w:t>Further, if you give us a counter-notice within the notice period, paragraphs 6</w:t>
      </w:r>
      <w:r w:rsidR="00A71B47">
        <w:t>8</w:t>
      </w:r>
      <w:r>
        <w:t>(3) to (6) of the Code will apply.</w:t>
      </w:r>
    </w:p>
    <w:p w14:paraId="20525F0D" w14:textId="0F3A8F69" w:rsidR="009810CF" w:rsidRDefault="009810CF" w:rsidP="008C7D09">
      <w:pPr>
        <w:pStyle w:val="ListParagraph"/>
        <w:ind w:left="426"/>
        <w:jc w:val="both"/>
      </w:pPr>
      <w:r>
        <w:lastRenderedPageBreak/>
        <w:t xml:space="preserve"> </w:t>
      </w:r>
    </w:p>
    <w:p w14:paraId="1349AA7F" w14:textId="3DCDD036" w:rsidR="008C7D09" w:rsidRDefault="008C7D09" w:rsidP="008C7D09">
      <w:pPr>
        <w:pStyle w:val="ListParagraph"/>
        <w:numPr>
          <w:ilvl w:val="0"/>
          <w:numId w:val="1"/>
        </w:numPr>
        <w:ind w:left="426" w:hanging="426"/>
        <w:jc w:val="both"/>
      </w:pPr>
      <w:r>
        <w:t>Even if you do not provide us with a counter-notice within the notice period,</w:t>
      </w:r>
      <w:r w:rsidR="00DC696C">
        <w:t xml:space="preserve"> we are required by paragraph 6</w:t>
      </w:r>
      <w:r w:rsidR="00A71B47">
        <w:t>9</w:t>
      </w:r>
      <w:r>
        <w:t xml:space="preserve"> of the Code </w:t>
      </w:r>
      <w:r w:rsidR="00307045">
        <w:t xml:space="preserve">to </w:t>
      </w:r>
      <w:r>
        <w:t xml:space="preserve">pay you the amount of any loss or damage sustained by you in consequence of any alteration being made to </w:t>
      </w:r>
      <w:r w:rsidR="00307045">
        <w:t xml:space="preserve">your </w:t>
      </w:r>
      <w:r>
        <w:t>electronic communications apparatus (in carrying out the Proposed Works).</w:t>
      </w:r>
    </w:p>
    <w:p w14:paraId="5AAB756B" w14:textId="77777777" w:rsidR="00307045" w:rsidRDefault="00307045" w:rsidP="00307045">
      <w:pPr>
        <w:pStyle w:val="ListParagraph"/>
      </w:pPr>
    </w:p>
    <w:p w14:paraId="27BC0CDA" w14:textId="77777777" w:rsidR="00307045" w:rsidRDefault="00307045" w:rsidP="00307045">
      <w:pPr>
        <w:pStyle w:val="ListParagraph"/>
        <w:ind w:left="426"/>
        <w:jc w:val="both"/>
      </w:pPr>
    </w:p>
    <w:p w14:paraId="33B615C5" w14:textId="733C66BB" w:rsidR="00662586" w:rsidRDefault="00662586" w:rsidP="00662586">
      <w:r>
        <w:t>[</w:t>
      </w:r>
      <w:r w:rsidRPr="00C73489">
        <w:rPr>
          <w:i/>
          <w:highlight w:val="yellow"/>
        </w:rPr>
        <w:t>Insert date of Notice</w:t>
      </w:r>
      <w:r>
        <w:t>]</w:t>
      </w:r>
    </w:p>
    <w:p w14:paraId="6B6DF9F6" w14:textId="77777777" w:rsidR="00662586" w:rsidRDefault="00662586" w:rsidP="00662586"/>
    <w:p w14:paraId="751B3292" w14:textId="77777777" w:rsidR="00662586" w:rsidRDefault="00662586" w:rsidP="00662586">
      <w:pPr>
        <w:pStyle w:val="ListParagraph"/>
        <w:ind w:left="426"/>
      </w:pPr>
    </w:p>
    <w:p w14:paraId="2F7013EF" w14:textId="77777777" w:rsidR="00662586" w:rsidRDefault="00662586" w:rsidP="00662586">
      <w:r>
        <w:br w:type="page"/>
      </w:r>
    </w:p>
    <w:p w14:paraId="46FD8F13" w14:textId="6A4326E5" w:rsidR="00121A9E" w:rsidRDefault="00121A9E" w:rsidP="00121A9E">
      <w:pPr>
        <w:jc w:val="center"/>
      </w:pPr>
      <w:r>
        <w:lastRenderedPageBreak/>
        <w:t>ANNEX 1</w:t>
      </w:r>
    </w:p>
    <w:p w14:paraId="5B8109BA" w14:textId="63B4D420" w:rsidR="00121A9E" w:rsidRDefault="00121A9E" w:rsidP="00121A9E">
      <w:pPr>
        <w:jc w:val="center"/>
        <w:rPr>
          <w:u w:val="single"/>
        </w:rPr>
      </w:pPr>
      <w:r>
        <w:rPr>
          <w:u w:val="single"/>
        </w:rPr>
        <w:t xml:space="preserve">THE APPARATUS AND THE </w:t>
      </w:r>
      <w:r w:rsidR="006940BC">
        <w:rPr>
          <w:u w:val="single"/>
        </w:rPr>
        <w:t xml:space="preserve">PROPOSED </w:t>
      </w:r>
      <w:r>
        <w:rPr>
          <w:u w:val="single"/>
        </w:rPr>
        <w:t>ALTERATION</w:t>
      </w:r>
    </w:p>
    <w:p w14:paraId="647BDDE6" w14:textId="77777777" w:rsidR="00121A9E" w:rsidRDefault="00121A9E">
      <w:pPr>
        <w:rPr>
          <w:u w:val="single"/>
        </w:rPr>
      </w:pPr>
    </w:p>
    <w:p w14:paraId="4D2883D9" w14:textId="2D3814C1" w:rsidR="00121A9E" w:rsidRPr="00121A9E" w:rsidRDefault="00121A9E">
      <w:pPr>
        <w:rPr>
          <w:u w:val="single"/>
        </w:rPr>
      </w:pPr>
      <w:r w:rsidRPr="00121A9E">
        <w:rPr>
          <w:u w:val="single"/>
        </w:rPr>
        <w:t>The electronic communications apparatus</w:t>
      </w:r>
    </w:p>
    <w:p w14:paraId="391E7378" w14:textId="43287767" w:rsidR="00121A9E" w:rsidRDefault="00121A9E">
      <w:r>
        <w:t>[</w:t>
      </w:r>
      <w:r w:rsidRPr="00121A9E">
        <w:rPr>
          <w:i/>
          <w:highlight w:val="yellow"/>
        </w:rPr>
        <w:t>Insert details of the electronic communications apparatus to which the alteration will relate</w:t>
      </w:r>
      <w:r>
        <w:t>]</w:t>
      </w:r>
    </w:p>
    <w:p w14:paraId="02797427" w14:textId="0869A575" w:rsidR="00121A9E" w:rsidRDefault="00121A9E"/>
    <w:p w14:paraId="57FD3034" w14:textId="59B75857" w:rsidR="00121A9E" w:rsidRPr="00121A9E" w:rsidRDefault="00121A9E">
      <w:pPr>
        <w:rPr>
          <w:u w:val="single"/>
        </w:rPr>
      </w:pPr>
      <w:r w:rsidRPr="00121A9E">
        <w:rPr>
          <w:u w:val="single"/>
        </w:rPr>
        <w:t xml:space="preserve">The </w:t>
      </w:r>
      <w:r w:rsidR="002C1CAB">
        <w:rPr>
          <w:u w:val="single"/>
        </w:rPr>
        <w:t xml:space="preserve">proposed </w:t>
      </w:r>
      <w:r w:rsidRPr="00121A9E">
        <w:rPr>
          <w:u w:val="single"/>
        </w:rPr>
        <w:t>alteration</w:t>
      </w:r>
      <w:r>
        <w:rPr>
          <w:u w:val="single"/>
        </w:rPr>
        <w:t>(s)</w:t>
      </w:r>
    </w:p>
    <w:p w14:paraId="763BE690" w14:textId="3E44A38D" w:rsidR="00121A9E" w:rsidRDefault="00121A9E" w:rsidP="00121A9E">
      <w:r>
        <w:t>[</w:t>
      </w:r>
      <w:r w:rsidRPr="00121A9E">
        <w:rPr>
          <w:i/>
          <w:highlight w:val="yellow"/>
        </w:rPr>
        <w:t xml:space="preserve">Insert details of the </w:t>
      </w:r>
      <w:r>
        <w:rPr>
          <w:i/>
          <w:highlight w:val="yellow"/>
        </w:rPr>
        <w:t xml:space="preserve">alterations which will, or are likely, to be made to the </w:t>
      </w:r>
      <w:r w:rsidRPr="00121A9E">
        <w:rPr>
          <w:i/>
          <w:highlight w:val="yellow"/>
        </w:rPr>
        <w:t xml:space="preserve">electronic communications apparatus </w:t>
      </w:r>
      <w:r>
        <w:rPr>
          <w:i/>
          <w:highlight w:val="yellow"/>
        </w:rPr>
        <w:t xml:space="preserve">described above </w:t>
      </w:r>
      <w:proofErr w:type="gramStart"/>
      <w:r>
        <w:rPr>
          <w:i/>
          <w:highlight w:val="yellow"/>
        </w:rPr>
        <w:t>as a result of</w:t>
      </w:r>
      <w:proofErr w:type="gramEnd"/>
      <w:r>
        <w:rPr>
          <w:i/>
          <w:highlight w:val="yellow"/>
        </w:rPr>
        <w:t xml:space="preserve"> the Proposed Works</w:t>
      </w:r>
      <w:r>
        <w:t>]</w:t>
      </w:r>
    </w:p>
    <w:p w14:paraId="415925B3" w14:textId="77777777" w:rsidR="00121A9E" w:rsidRDefault="00121A9E">
      <w:r>
        <w:br w:type="page"/>
      </w:r>
    </w:p>
    <w:p w14:paraId="5E4701BD" w14:textId="2442B13D" w:rsidR="00662586" w:rsidRDefault="00662586" w:rsidP="00121A9E">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3CC271CF" wp14:editId="5FBF7AAB">
                <wp:simplePos x="0" y="0"/>
                <wp:positionH relativeFrom="margin">
                  <wp:align>left</wp:align>
                </wp:positionH>
                <wp:positionV relativeFrom="paragraph">
                  <wp:posOffset>0</wp:posOffset>
                </wp:positionV>
                <wp:extent cx="5715000" cy="1404620"/>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F8F70A0" w14:textId="77777777" w:rsidR="00662586" w:rsidRPr="00F44057" w:rsidRDefault="00662586" w:rsidP="00662586">
                            <w:pPr>
                              <w:pStyle w:val="ListParagraph"/>
                              <w:ind w:left="426"/>
                              <w:rPr>
                                <w:i/>
                                <w:u w:val="single"/>
                              </w:rPr>
                            </w:pPr>
                            <w:r w:rsidRPr="00F44057">
                              <w:rPr>
                                <w:i/>
                                <w:u w:val="single"/>
                              </w:rPr>
                              <w:t>NOTES FOR COMPLETING THIS NOTICE</w:t>
                            </w:r>
                          </w:p>
                          <w:p w14:paraId="0CE074E8" w14:textId="77777777" w:rsidR="00662586" w:rsidRDefault="00662586" w:rsidP="00662586">
                            <w:pPr>
                              <w:pStyle w:val="ListParagraph"/>
                              <w:ind w:left="426"/>
                              <w:rPr>
                                <w:i/>
                              </w:rPr>
                            </w:pPr>
                          </w:p>
                          <w:p w14:paraId="06AA2EC9" w14:textId="77777777" w:rsidR="00940548" w:rsidRDefault="00940548" w:rsidP="00940548">
                            <w:pPr>
                              <w:pStyle w:val="ListParagraph"/>
                              <w:ind w:left="426"/>
                              <w:rPr>
                                <w:i/>
                              </w:rPr>
                            </w:pPr>
                            <w:r>
                              <w:rPr>
                                <w:i/>
                              </w:rPr>
                              <w:t xml:space="preserve">You may wish to obtain independent legal advice before completing this notice. </w:t>
                            </w:r>
                          </w:p>
                          <w:p w14:paraId="49D196BB" w14:textId="77777777" w:rsidR="00940548" w:rsidRDefault="00940548" w:rsidP="00940548">
                            <w:pPr>
                              <w:pStyle w:val="ListParagraph"/>
                              <w:ind w:left="426"/>
                              <w:rPr>
                                <w:i/>
                              </w:rPr>
                            </w:pPr>
                          </w:p>
                          <w:p w14:paraId="0890693E" w14:textId="77777777" w:rsidR="00940548" w:rsidRDefault="00940548" w:rsidP="00940548">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272212D1" w14:textId="77777777" w:rsidR="00940548" w:rsidRPr="00C73489" w:rsidRDefault="00940548" w:rsidP="00940548">
                            <w:pPr>
                              <w:pStyle w:val="ListParagraph"/>
                              <w:numPr>
                                <w:ilvl w:val="0"/>
                                <w:numId w:val="4"/>
                              </w:numPr>
                              <w:rPr>
                                <w:i/>
                              </w:rPr>
                            </w:pPr>
                            <w:r w:rsidRPr="00C73489">
                              <w:rPr>
                                <w:i/>
                              </w:rPr>
                              <w:t>the address for service that the operator has given to you for the purposes of the Code; or</w:t>
                            </w:r>
                          </w:p>
                          <w:p w14:paraId="6138A49B" w14:textId="77777777" w:rsidR="00940548" w:rsidRDefault="00940548" w:rsidP="00940548">
                            <w:pPr>
                              <w:pStyle w:val="ListParagraph"/>
                              <w:numPr>
                                <w:ilvl w:val="0"/>
                                <w:numId w:val="4"/>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550FAF7D" w14:textId="77777777" w:rsidR="00940548" w:rsidRDefault="00940548" w:rsidP="00940548">
                            <w:pPr>
                              <w:pStyle w:val="ListParagraph"/>
                              <w:ind w:left="786"/>
                            </w:pPr>
                          </w:p>
                          <w:p w14:paraId="55CC3ECD" w14:textId="6D0CE3EE" w:rsidR="00940548" w:rsidRDefault="008D1A2F" w:rsidP="00940548">
                            <w:pPr>
                              <w:pStyle w:val="ListParagraph"/>
                              <w:ind w:left="786"/>
                              <w:rPr>
                                <w:i/>
                              </w:rPr>
                            </w:pPr>
                            <w:r>
                              <w:rPr>
                                <w:i/>
                              </w:rPr>
                              <w:t xml:space="preserve">Please note that you will be guilty of an offence if you </w:t>
                            </w:r>
                            <w:r w:rsidRPr="008D1A2F">
                              <w:rPr>
                                <w:i/>
                              </w:rPr>
                              <w:t>make an alteration of electronic communications apparatus in carrying out non-emergency undertaker’s works</w:t>
                            </w:r>
                            <w:r>
                              <w:rPr>
                                <w:i/>
                              </w:rPr>
                              <w:t xml:space="preserve"> without giving this notice.</w:t>
                            </w:r>
                          </w:p>
                          <w:p w14:paraId="179229FF" w14:textId="77777777" w:rsidR="00940548" w:rsidRPr="000E304C" w:rsidRDefault="00940548" w:rsidP="00940548">
                            <w:pPr>
                              <w:pStyle w:val="ListParagraph"/>
                              <w:ind w:left="786"/>
                              <w:rPr>
                                <w:i/>
                              </w:rPr>
                            </w:pPr>
                          </w:p>
                          <w:p w14:paraId="4262E0B9" w14:textId="0457414F" w:rsidR="00662586" w:rsidRPr="00D53E52" w:rsidRDefault="00D53E52" w:rsidP="00D53E52">
                            <w:pPr>
                              <w:pStyle w:val="ListParagraph"/>
                              <w:numPr>
                                <w:ilvl w:val="0"/>
                                <w:numId w:val="2"/>
                              </w:numPr>
                              <w:rPr>
                                <w:i/>
                              </w:rPr>
                            </w:pPr>
                            <w:r>
                              <w:rPr>
                                <w:i/>
                              </w:rPr>
                              <w:t>This notice is only suitable when providing notice of non-emergency undertaker’</w:t>
                            </w:r>
                            <w:r w:rsidR="000D392D">
                              <w:rPr>
                                <w:i/>
                              </w:rPr>
                              <w:t xml:space="preserve">s works. These works </w:t>
                            </w:r>
                            <w:r w:rsidR="00307045">
                              <w:rPr>
                                <w:i/>
                              </w:rPr>
                              <w:t>are defined at paragraph 6</w:t>
                            </w:r>
                            <w:r w:rsidR="00A71B47">
                              <w:rPr>
                                <w:i/>
                              </w:rPr>
                              <w:t>7</w:t>
                            </w:r>
                            <w:r w:rsidR="00940548" w:rsidRPr="00D53E52">
                              <w:rPr>
                                <w:i/>
                              </w:rPr>
                              <w:t>(5) of the Code as any undertaker’s works</w:t>
                            </w:r>
                            <w:r w:rsidR="00307045">
                              <w:rPr>
                                <w:i/>
                              </w:rPr>
                              <w:t xml:space="preserve"> (defined at paragraph 6</w:t>
                            </w:r>
                            <w:r w:rsidR="00A71B47">
                              <w:rPr>
                                <w:i/>
                              </w:rPr>
                              <w:t>6</w:t>
                            </w:r>
                            <w:r w:rsidR="000D392D">
                              <w:rPr>
                                <w:i/>
                              </w:rPr>
                              <w:t>(1) of the Code)</w:t>
                            </w:r>
                            <w:r w:rsidR="00940548" w:rsidRPr="00D53E52">
                              <w:rPr>
                                <w:i/>
                              </w:rPr>
                              <w:t xml:space="preserve"> which are not emergency works. Emergency </w:t>
                            </w:r>
                            <w:r w:rsidR="00307045">
                              <w:rPr>
                                <w:i/>
                              </w:rPr>
                              <w:t xml:space="preserve">undertaker’s works are defined in paragraph </w:t>
                            </w:r>
                            <w:r w:rsidR="00940548" w:rsidRPr="00D53E52">
                              <w:rPr>
                                <w:i/>
                              </w:rPr>
                              <w:t>7</w:t>
                            </w:r>
                            <w:r w:rsidR="00A71B47">
                              <w:rPr>
                                <w:i/>
                              </w:rPr>
                              <w:t>1</w:t>
                            </w:r>
                            <w:r w:rsidR="00940548" w:rsidRPr="00D53E52">
                              <w:rPr>
                                <w:i/>
                              </w:rPr>
                              <w:t xml:space="preserve"> of the Code as follows: </w:t>
                            </w:r>
                          </w:p>
                          <w:p w14:paraId="4A4713B1" w14:textId="23CB59A6" w:rsidR="00940548" w:rsidRDefault="00940548" w:rsidP="00940548">
                            <w:pPr>
                              <w:pStyle w:val="ListParagraph"/>
                              <w:ind w:left="786"/>
                            </w:pPr>
                          </w:p>
                          <w:p w14:paraId="50396618" w14:textId="25A89396" w:rsidR="00940548" w:rsidRDefault="00940548" w:rsidP="00940548">
                            <w:pPr>
                              <w:pStyle w:val="ListParagraph"/>
                              <w:ind w:left="1134" w:right="616"/>
                              <w:rPr>
                                <w:i/>
                              </w:rPr>
                            </w:pPr>
                            <w:r>
                              <w:t>“</w:t>
                            </w:r>
                            <w:r w:rsidRPr="00940548">
                              <w:rPr>
                                <w:i/>
                              </w:rPr>
                              <w:t xml:space="preserve">undertaker’s works carried out </w:t>
                            </w:r>
                            <w:proofErr w:type="gramStart"/>
                            <w:r w:rsidRPr="00940548">
                              <w:rPr>
                                <w:i/>
                              </w:rPr>
                              <w:t>in order to</w:t>
                            </w:r>
                            <w:proofErr w:type="gramEnd"/>
                            <w:r w:rsidRPr="00940548">
                              <w:rPr>
                                <w:i/>
                              </w:rPr>
                              <w:t xml:space="preserve"> stop anything already occurring, or to prevent anything imminent from occurring, which is likely to cause</w:t>
                            </w:r>
                            <w:r>
                              <w:rPr>
                                <w:i/>
                              </w:rPr>
                              <w:t>:</w:t>
                            </w:r>
                          </w:p>
                          <w:p w14:paraId="4F3297AA" w14:textId="77777777" w:rsidR="00940548" w:rsidRDefault="00940548" w:rsidP="00940548">
                            <w:pPr>
                              <w:pStyle w:val="ListParagraph"/>
                              <w:ind w:left="1134" w:right="616"/>
                              <w:rPr>
                                <w:i/>
                              </w:rPr>
                            </w:pPr>
                          </w:p>
                          <w:p w14:paraId="3B87673B" w14:textId="77777777" w:rsidR="00940548" w:rsidRDefault="00940548" w:rsidP="00940548">
                            <w:pPr>
                              <w:pStyle w:val="ListParagraph"/>
                              <w:ind w:left="1134" w:right="616"/>
                              <w:rPr>
                                <w:i/>
                              </w:rPr>
                            </w:pPr>
                            <w:r w:rsidRPr="00940548">
                              <w:rPr>
                                <w:i/>
                              </w:rPr>
                              <w:t>(a</w:t>
                            </w:r>
                            <w:r>
                              <w:rPr>
                                <w:i/>
                              </w:rPr>
                              <w:t>) danger to persons or property;</w:t>
                            </w:r>
                          </w:p>
                          <w:p w14:paraId="06F7A6C3" w14:textId="77777777" w:rsidR="00940548" w:rsidRDefault="00940548" w:rsidP="00940548">
                            <w:pPr>
                              <w:pStyle w:val="ListParagraph"/>
                              <w:ind w:left="1134" w:right="616"/>
                              <w:rPr>
                                <w:i/>
                              </w:rPr>
                            </w:pPr>
                            <w:r w:rsidRPr="00940548">
                              <w:rPr>
                                <w:i/>
                              </w:rPr>
                              <w:t>(b) interference with the exercise of any functions conferred or imposed on the under</w:t>
                            </w:r>
                            <w:r>
                              <w:rPr>
                                <w:i/>
                              </w:rPr>
                              <w:t>taker by or under any enactment;</w:t>
                            </w:r>
                            <w:r w:rsidRPr="00940548">
                              <w:rPr>
                                <w:i/>
                              </w:rPr>
                              <w:t xml:space="preserve"> or </w:t>
                            </w:r>
                          </w:p>
                          <w:p w14:paraId="58B47A1B" w14:textId="77777777" w:rsidR="00940548" w:rsidRDefault="00940548" w:rsidP="00940548">
                            <w:pPr>
                              <w:pStyle w:val="ListParagraph"/>
                              <w:ind w:left="1134" w:right="616"/>
                              <w:rPr>
                                <w:i/>
                              </w:rPr>
                            </w:pPr>
                            <w:r w:rsidRPr="00940548">
                              <w:rPr>
                                <w:i/>
                              </w:rPr>
                              <w:t xml:space="preserve">(c) substantial loss to the undertaker, </w:t>
                            </w:r>
                          </w:p>
                          <w:p w14:paraId="60879960" w14:textId="77777777" w:rsidR="00940548" w:rsidRDefault="00940548" w:rsidP="00940548">
                            <w:pPr>
                              <w:pStyle w:val="ListParagraph"/>
                              <w:ind w:left="1134" w:right="616"/>
                              <w:rPr>
                                <w:i/>
                              </w:rPr>
                            </w:pPr>
                          </w:p>
                          <w:p w14:paraId="4B3B01CE" w14:textId="096D6FAA" w:rsidR="00940548" w:rsidRDefault="00940548" w:rsidP="00940548">
                            <w:pPr>
                              <w:pStyle w:val="ListParagraph"/>
                              <w:ind w:left="1134" w:right="616"/>
                              <w:rPr>
                                <w:i/>
                              </w:rPr>
                            </w:pPr>
                            <w:r w:rsidRPr="00940548">
                              <w:rPr>
                                <w:i/>
                              </w:rPr>
                              <w:t>and any other works which it is reasonable (in all the circumstances) to carry out with those works.</w:t>
                            </w:r>
                            <w:r>
                              <w:rPr>
                                <w:i/>
                              </w:rPr>
                              <w:t>”</w:t>
                            </w:r>
                          </w:p>
                          <w:p w14:paraId="46618F4B" w14:textId="4A4F3CDA" w:rsidR="008D1A2F" w:rsidRDefault="008D1A2F" w:rsidP="00940548">
                            <w:pPr>
                              <w:pStyle w:val="ListParagraph"/>
                              <w:ind w:left="1134" w:right="616"/>
                              <w:rPr>
                                <w:i/>
                              </w:rPr>
                            </w:pPr>
                          </w:p>
                          <w:p w14:paraId="5CDE5BD3" w14:textId="32963A20" w:rsidR="008D1A2F" w:rsidRDefault="008D1A2F" w:rsidP="0021783A">
                            <w:pPr>
                              <w:pStyle w:val="ListParagraph"/>
                              <w:numPr>
                                <w:ilvl w:val="0"/>
                                <w:numId w:val="2"/>
                              </w:numPr>
                              <w:rPr>
                                <w:i/>
                              </w:rPr>
                            </w:pPr>
                            <w:r w:rsidRPr="008D1A2F">
                              <w:rPr>
                                <w:i/>
                              </w:rPr>
                              <w:t xml:space="preserve">Please note that you will be guilty of an offence </w:t>
                            </w:r>
                            <w:r w:rsidR="001B120B">
                              <w:rPr>
                                <w:i/>
                              </w:rPr>
                              <w:t xml:space="preserve">under paragraph 72 of the Code </w:t>
                            </w:r>
                            <w:r w:rsidRPr="008D1A2F">
                              <w:rPr>
                                <w:i/>
                              </w:rPr>
                              <w:t xml:space="preserve">if you make an alteration of electronic communications apparatus in carrying out non-emergency undertaker’s works before the end of the notice period. </w:t>
                            </w:r>
                          </w:p>
                          <w:p w14:paraId="649CC42F" w14:textId="77777777" w:rsidR="00153CB2" w:rsidRDefault="00153CB2" w:rsidP="00724596">
                            <w:pPr>
                              <w:pStyle w:val="ListParagraph"/>
                              <w:ind w:left="786"/>
                              <w:rPr>
                                <w:i/>
                              </w:rPr>
                            </w:pPr>
                          </w:p>
                          <w:p w14:paraId="2BCC6DD6" w14:textId="77777777" w:rsidR="00153CB2" w:rsidRPr="00CB7086" w:rsidRDefault="00153CB2" w:rsidP="00153CB2">
                            <w:pPr>
                              <w:pStyle w:val="ListParagraph"/>
                              <w:numPr>
                                <w:ilvl w:val="0"/>
                                <w:numId w:val="2"/>
                              </w:numPr>
                              <w:jc w:val="both"/>
                              <w:rPr>
                                <w:i/>
                              </w:rPr>
                            </w:pPr>
                            <w:r>
                              <w:rPr>
                                <w:i/>
                              </w:rPr>
                              <w:t xml:space="preserve">Paragraph 108(2) of the Code defines “alteration” to include the moving, removal or replacement of apparatus. </w:t>
                            </w:r>
                          </w:p>
                          <w:p w14:paraId="731353F5" w14:textId="77777777" w:rsidR="00153CB2" w:rsidRPr="00940548" w:rsidRDefault="00153CB2" w:rsidP="00724596">
                            <w:pPr>
                              <w:pStyle w:val="ListParagraph"/>
                              <w:ind w:left="786"/>
                              <w:rPr>
                                <w: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C271CF"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0F8F70A0" w14:textId="77777777" w:rsidR="00662586" w:rsidRPr="00F44057" w:rsidRDefault="00662586" w:rsidP="00662586">
                      <w:pPr>
                        <w:pStyle w:val="ListParagraph"/>
                        <w:ind w:left="426"/>
                        <w:rPr>
                          <w:i/>
                          <w:u w:val="single"/>
                        </w:rPr>
                      </w:pPr>
                      <w:r w:rsidRPr="00F44057">
                        <w:rPr>
                          <w:i/>
                          <w:u w:val="single"/>
                        </w:rPr>
                        <w:t>NOTES FOR COMPLETING THIS NOTICE</w:t>
                      </w:r>
                    </w:p>
                    <w:p w14:paraId="0CE074E8" w14:textId="77777777" w:rsidR="00662586" w:rsidRDefault="00662586" w:rsidP="00662586">
                      <w:pPr>
                        <w:pStyle w:val="ListParagraph"/>
                        <w:ind w:left="426"/>
                        <w:rPr>
                          <w:i/>
                        </w:rPr>
                      </w:pPr>
                    </w:p>
                    <w:p w14:paraId="06AA2EC9" w14:textId="77777777" w:rsidR="00940548" w:rsidRDefault="00940548" w:rsidP="00940548">
                      <w:pPr>
                        <w:pStyle w:val="ListParagraph"/>
                        <w:ind w:left="426"/>
                        <w:rPr>
                          <w:i/>
                        </w:rPr>
                      </w:pPr>
                      <w:r>
                        <w:rPr>
                          <w:i/>
                        </w:rPr>
                        <w:t xml:space="preserve">You may wish to obtain independent legal advice before completing this notice. </w:t>
                      </w:r>
                    </w:p>
                    <w:p w14:paraId="49D196BB" w14:textId="77777777" w:rsidR="00940548" w:rsidRDefault="00940548" w:rsidP="00940548">
                      <w:pPr>
                        <w:pStyle w:val="ListParagraph"/>
                        <w:ind w:left="426"/>
                        <w:rPr>
                          <w:i/>
                        </w:rPr>
                      </w:pPr>
                    </w:p>
                    <w:p w14:paraId="0890693E" w14:textId="77777777" w:rsidR="00940548" w:rsidRDefault="00940548" w:rsidP="00940548">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272212D1" w14:textId="77777777" w:rsidR="00940548" w:rsidRPr="00C73489" w:rsidRDefault="00940548" w:rsidP="00940548">
                      <w:pPr>
                        <w:pStyle w:val="ListParagraph"/>
                        <w:numPr>
                          <w:ilvl w:val="0"/>
                          <w:numId w:val="4"/>
                        </w:numPr>
                        <w:rPr>
                          <w:i/>
                        </w:rPr>
                      </w:pPr>
                      <w:r w:rsidRPr="00C73489">
                        <w:rPr>
                          <w:i/>
                        </w:rPr>
                        <w:t>the address for service that the operator has given to you for the purposes of the Code; or</w:t>
                      </w:r>
                    </w:p>
                    <w:p w14:paraId="6138A49B" w14:textId="77777777" w:rsidR="00940548" w:rsidRDefault="00940548" w:rsidP="00940548">
                      <w:pPr>
                        <w:pStyle w:val="ListParagraph"/>
                        <w:numPr>
                          <w:ilvl w:val="0"/>
                          <w:numId w:val="4"/>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2" w:history="1">
                        <w:r w:rsidRPr="00C73489">
                          <w:rPr>
                            <w:rStyle w:val="Hyperlink"/>
                            <w:i/>
                          </w:rPr>
                          <w:t>www.legislation.gov.uk</w:t>
                        </w:r>
                      </w:hyperlink>
                      <w:r w:rsidRPr="00C73489">
                        <w:rPr>
                          <w:rStyle w:val="Hyperlink"/>
                          <w:i/>
                        </w:rPr>
                        <w:t>).</w:t>
                      </w:r>
                    </w:p>
                    <w:p w14:paraId="550FAF7D" w14:textId="77777777" w:rsidR="00940548" w:rsidRDefault="00940548" w:rsidP="00940548">
                      <w:pPr>
                        <w:pStyle w:val="ListParagraph"/>
                        <w:ind w:left="786"/>
                      </w:pPr>
                    </w:p>
                    <w:p w14:paraId="55CC3ECD" w14:textId="6D0CE3EE" w:rsidR="00940548" w:rsidRDefault="008D1A2F" w:rsidP="00940548">
                      <w:pPr>
                        <w:pStyle w:val="ListParagraph"/>
                        <w:ind w:left="786"/>
                        <w:rPr>
                          <w:i/>
                        </w:rPr>
                      </w:pPr>
                      <w:r>
                        <w:rPr>
                          <w:i/>
                        </w:rPr>
                        <w:t xml:space="preserve">Please note that you will be guilty of an offence if you </w:t>
                      </w:r>
                      <w:r w:rsidRPr="008D1A2F">
                        <w:rPr>
                          <w:i/>
                        </w:rPr>
                        <w:t>make an alteration of electronic communications apparatus in carrying out non-emergency undertaker’s works</w:t>
                      </w:r>
                      <w:r>
                        <w:rPr>
                          <w:i/>
                        </w:rPr>
                        <w:t xml:space="preserve"> without giving this notice.</w:t>
                      </w:r>
                    </w:p>
                    <w:p w14:paraId="179229FF" w14:textId="77777777" w:rsidR="00940548" w:rsidRPr="000E304C" w:rsidRDefault="00940548" w:rsidP="00940548">
                      <w:pPr>
                        <w:pStyle w:val="ListParagraph"/>
                        <w:ind w:left="786"/>
                        <w:rPr>
                          <w:i/>
                        </w:rPr>
                      </w:pPr>
                    </w:p>
                    <w:p w14:paraId="4262E0B9" w14:textId="0457414F" w:rsidR="00662586" w:rsidRPr="00D53E52" w:rsidRDefault="00D53E52" w:rsidP="00D53E52">
                      <w:pPr>
                        <w:pStyle w:val="ListParagraph"/>
                        <w:numPr>
                          <w:ilvl w:val="0"/>
                          <w:numId w:val="2"/>
                        </w:numPr>
                        <w:rPr>
                          <w:i/>
                        </w:rPr>
                      </w:pPr>
                      <w:r>
                        <w:rPr>
                          <w:i/>
                        </w:rPr>
                        <w:t>This notice is only suitable when providing notice of non-emergency undertaker’</w:t>
                      </w:r>
                      <w:r w:rsidR="000D392D">
                        <w:rPr>
                          <w:i/>
                        </w:rPr>
                        <w:t xml:space="preserve">s works. These works </w:t>
                      </w:r>
                      <w:r w:rsidR="00307045">
                        <w:rPr>
                          <w:i/>
                        </w:rPr>
                        <w:t>are defined at paragraph 6</w:t>
                      </w:r>
                      <w:r w:rsidR="00A71B47">
                        <w:rPr>
                          <w:i/>
                        </w:rPr>
                        <w:t>7</w:t>
                      </w:r>
                      <w:r w:rsidR="00940548" w:rsidRPr="00D53E52">
                        <w:rPr>
                          <w:i/>
                        </w:rPr>
                        <w:t>(5) of the Code as any undertaker’s works</w:t>
                      </w:r>
                      <w:r w:rsidR="00307045">
                        <w:rPr>
                          <w:i/>
                        </w:rPr>
                        <w:t xml:space="preserve"> (defined at paragraph 6</w:t>
                      </w:r>
                      <w:r w:rsidR="00A71B47">
                        <w:rPr>
                          <w:i/>
                        </w:rPr>
                        <w:t>6</w:t>
                      </w:r>
                      <w:r w:rsidR="000D392D">
                        <w:rPr>
                          <w:i/>
                        </w:rPr>
                        <w:t>(1) of the Code)</w:t>
                      </w:r>
                      <w:r w:rsidR="00940548" w:rsidRPr="00D53E52">
                        <w:rPr>
                          <w:i/>
                        </w:rPr>
                        <w:t xml:space="preserve"> which are not emergency works. Emergency </w:t>
                      </w:r>
                      <w:r w:rsidR="00307045">
                        <w:rPr>
                          <w:i/>
                        </w:rPr>
                        <w:t xml:space="preserve">undertaker’s works are defined in paragraph </w:t>
                      </w:r>
                      <w:r w:rsidR="00940548" w:rsidRPr="00D53E52">
                        <w:rPr>
                          <w:i/>
                        </w:rPr>
                        <w:t>7</w:t>
                      </w:r>
                      <w:r w:rsidR="00A71B47">
                        <w:rPr>
                          <w:i/>
                        </w:rPr>
                        <w:t>1</w:t>
                      </w:r>
                      <w:r w:rsidR="00940548" w:rsidRPr="00D53E52">
                        <w:rPr>
                          <w:i/>
                        </w:rPr>
                        <w:t xml:space="preserve"> of the Code as follows: </w:t>
                      </w:r>
                    </w:p>
                    <w:p w14:paraId="4A4713B1" w14:textId="23CB59A6" w:rsidR="00940548" w:rsidRDefault="00940548" w:rsidP="00940548">
                      <w:pPr>
                        <w:pStyle w:val="ListParagraph"/>
                        <w:ind w:left="786"/>
                      </w:pPr>
                    </w:p>
                    <w:p w14:paraId="50396618" w14:textId="25A89396" w:rsidR="00940548" w:rsidRDefault="00940548" w:rsidP="00940548">
                      <w:pPr>
                        <w:pStyle w:val="ListParagraph"/>
                        <w:ind w:left="1134" w:right="616"/>
                        <w:rPr>
                          <w:i/>
                        </w:rPr>
                      </w:pPr>
                      <w:r>
                        <w:t>“</w:t>
                      </w:r>
                      <w:r w:rsidRPr="00940548">
                        <w:rPr>
                          <w:i/>
                        </w:rPr>
                        <w:t xml:space="preserve">undertaker’s works carried out </w:t>
                      </w:r>
                      <w:proofErr w:type="gramStart"/>
                      <w:r w:rsidRPr="00940548">
                        <w:rPr>
                          <w:i/>
                        </w:rPr>
                        <w:t>in order to</w:t>
                      </w:r>
                      <w:proofErr w:type="gramEnd"/>
                      <w:r w:rsidRPr="00940548">
                        <w:rPr>
                          <w:i/>
                        </w:rPr>
                        <w:t xml:space="preserve"> stop anything already occurring, or to prevent anything imminent from occurring, which is likely to cause</w:t>
                      </w:r>
                      <w:r>
                        <w:rPr>
                          <w:i/>
                        </w:rPr>
                        <w:t>:</w:t>
                      </w:r>
                    </w:p>
                    <w:p w14:paraId="4F3297AA" w14:textId="77777777" w:rsidR="00940548" w:rsidRDefault="00940548" w:rsidP="00940548">
                      <w:pPr>
                        <w:pStyle w:val="ListParagraph"/>
                        <w:ind w:left="1134" w:right="616"/>
                        <w:rPr>
                          <w:i/>
                        </w:rPr>
                      </w:pPr>
                    </w:p>
                    <w:p w14:paraId="3B87673B" w14:textId="77777777" w:rsidR="00940548" w:rsidRDefault="00940548" w:rsidP="00940548">
                      <w:pPr>
                        <w:pStyle w:val="ListParagraph"/>
                        <w:ind w:left="1134" w:right="616"/>
                        <w:rPr>
                          <w:i/>
                        </w:rPr>
                      </w:pPr>
                      <w:r w:rsidRPr="00940548">
                        <w:rPr>
                          <w:i/>
                        </w:rPr>
                        <w:t>(a</w:t>
                      </w:r>
                      <w:r>
                        <w:rPr>
                          <w:i/>
                        </w:rPr>
                        <w:t>) danger to persons or property;</w:t>
                      </w:r>
                    </w:p>
                    <w:p w14:paraId="06F7A6C3" w14:textId="77777777" w:rsidR="00940548" w:rsidRDefault="00940548" w:rsidP="00940548">
                      <w:pPr>
                        <w:pStyle w:val="ListParagraph"/>
                        <w:ind w:left="1134" w:right="616"/>
                        <w:rPr>
                          <w:i/>
                        </w:rPr>
                      </w:pPr>
                      <w:r w:rsidRPr="00940548">
                        <w:rPr>
                          <w:i/>
                        </w:rPr>
                        <w:t>(b) interference with the exercise of any functions conferred or imposed on the under</w:t>
                      </w:r>
                      <w:r>
                        <w:rPr>
                          <w:i/>
                        </w:rPr>
                        <w:t>taker by or under any enactment;</w:t>
                      </w:r>
                      <w:r w:rsidRPr="00940548">
                        <w:rPr>
                          <w:i/>
                        </w:rPr>
                        <w:t xml:space="preserve"> or </w:t>
                      </w:r>
                    </w:p>
                    <w:p w14:paraId="58B47A1B" w14:textId="77777777" w:rsidR="00940548" w:rsidRDefault="00940548" w:rsidP="00940548">
                      <w:pPr>
                        <w:pStyle w:val="ListParagraph"/>
                        <w:ind w:left="1134" w:right="616"/>
                        <w:rPr>
                          <w:i/>
                        </w:rPr>
                      </w:pPr>
                      <w:r w:rsidRPr="00940548">
                        <w:rPr>
                          <w:i/>
                        </w:rPr>
                        <w:t xml:space="preserve">(c) substantial loss to the undertaker, </w:t>
                      </w:r>
                    </w:p>
                    <w:p w14:paraId="60879960" w14:textId="77777777" w:rsidR="00940548" w:rsidRDefault="00940548" w:rsidP="00940548">
                      <w:pPr>
                        <w:pStyle w:val="ListParagraph"/>
                        <w:ind w:left="1134" w:right="616"/>
                        <w:rPr>
                          <w:i/>
                        </w:rPr>
                      </w:pPr>
                    </w:p>
                    <w:p w14:paraId="4B3B01CE" w14:textId="096D6FAA" w:rsidR="00940548" w:rsidRDefault="00940548" w:rsidP="00940548">
                      <w:pPr>
                        <w:pStyle w:val="ListParagraph"/>
                        <w:ind w:left="1134" w:right="616"/>
                        <w:rPr>
                          <w:i/>
                        </w:rPr>
                      </w:pPr>
                      <w:r w:rsidRPr="00940548">
                        <w:rPr>
                          <w:i/>
                        </w:rPr>
                        <w:t>and any other works which it is reasonable (in all the circumstances) to carry out with those works.</w:t>
                      </w:r>
                      <w:r>
                        <w:rPr>
                          <w:i/>
                        </w:rPr>
                        <w:t>”</w:t>
                      </w:r>
                    </w:p>
                    <w:p w14:paraId="46618F4B" w14:textId="4A4F3CDA" w:rsidR="008D1A2F" w:rsidRDefault="008D1A2F" w:rsidP="00940548">
                      <w:pPr>
                        <w:pStyle w:val="ListParagraph"/>
                        <w:ind w:left="1134" w:right="616"/>
                        <w:rPr>
                          <w:i/>
                        </w:rPr>
                      </w:pPr>
                    </w:p>
                    <w:p w14:paraId="5CDE5BD3" w14:textId="32963A20" w:rsidR="008D1A2F" w:rsidRDefault="008D1A2F" w:rsidP="0021783A">
                      <w:pPr>
                        <w:pStyle w:val="ListParagraph"/>
                        <w:numPr>
                          <w:ilvl w:val="0"/>
                          <w:numId w:val="2"/>
                        </w:numPr>
                        <w:rPr>
                          <w:i/>
                        </w:rPr>
                      </w:pPr>
                      <w:r w:rsidRPr="008D1A2F">
                        <w:rPr>
                          <w:i/>
                        </w:rPr>
                        <w:t xml:space="preserve">Please note that you will be guilty of an offence </w:t>
                      </w:r>
                      <w:r w:rsidR="001B120B">
                        <w:rPr>
                          <w:i/>
                        </w:rPr>
                        <w:t xml:space="preserve">under paragraph 72 of the Code </w:t>
                      </w:r>
                      <w:r w:rsidRPr="008D1A2F">
                        <w:rPr>
                          <w:i/>
                        </w:rPr>
                        <w:t xml:space="preserve">if you make an alteration of electronic communications apparatus in carrying out non-emergency undertaker’s works before the end of the notice period. </w:t>
                      </w:r>
                    </w:p>
                    <w:p w14:paraId="649CC42F" w14:textId="77777777" w:rsidR="00153CB2" w:rsidRDefault="00153CB2" w:rsidP="00724596">
                      <w:pPr>
                        <w:pStyle w:val="ListParagraph"/>
                        <w:ind w:left="786"/>
                        <w:rPr>
                          <w:i/>
                        </w:rPr>
                      </w:pPr>
                    </w:p>
                    <w:p w14:paraId="2BCC6DD6" w14:textId="77777777" w:rsidR="00153CB2" w:rsidRPr="00CB7086" w:rsidRDefault="00153CB2" w:rsidP="00153CB2">
                      <w:pPr>
                        <w:pStyle w:val="ListParagraph"/>
                        <w:numPr>
                          <w:ilvl w:val="0"/>
                          <w:numId w:val="2"/>
                        </w:numPr>
                        <w:jc w:val="both"/>
                        <w:rPr>
                          <w:i/>
                        </w:rPr>
                      </w:pPr>
                      <w:r>
                        <w:rPr>
                          <w:i/>
                        </w:rPr>
                        <w:t xml:space="preserve">Paragraph 108(2) of the Code defines “alteration” to include the moving, removal or replacement of apparatus. </w:t>
                      </w:r>
                    </w:p>
                    <w:p w14:paraId="731353F5" w14:textId="77777777" w:rsidR="00153CB2" w:rsidRPr="00940548" w:rsidRDefault="00153CB2" w:rsidP="00724596">
                      <w:pPr>
                        <w:pStyle w:val="ListParagraph"/>
                        <w:ind w:left="786"/>
                        <w:rPr>
                          <w:i/>
                        </w:rPr>
                      </w:pPr>
                    </w:p>
                  </w:txbxContent>
                </v:textbox>
                <w10:wrap type="square" anchorx="margin"/>
              </v:shape>
            </w:pict>
          </mc:Fallback>
        </mc:AlternateContent>
      </w:r>
    </w:p>
    <w:p w14:paraId="651AA55F" w14:textId="77777777" w:rsidR="00B52027" w:rsidRDefault="00B52027"/>
    <w:sectPr w:rsidR="00B5202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E721" w14:textId="77777777" w:rsidR="00662586" w:rsidRDefault="00662586" w:rsidP="00662586">
      <w:pPr>
        <w:spacing w:after="0" w:line="240" w:lineRule="auto"/>
      </w:pPr>
      <w:r>
        <w:separator/>
      </w:r>
    </w:p>
  </w:endnote>
  <w:endnote w:type="continuationSeparator" w:id="0">
    <w:p w14:paraId="4B4C9C10" w14:textId="77777777" w:rsidR="00662586" w:rsidRDefault="00662586" w:rsidP="0066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8C0A" w14:textId="77777777" w:rsidR="00877DE0" w:rsidRDefault="00877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02B8F" w14:textId="77777777" w:rsidR="00877DE0" w:rsidRDefault="00877D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691A" w14:textId="77777777" w:rsidR="00877DE0" w:rsidRDefault="00877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0602" w14:textId="77777777" w:rsidR="00662586" w:rsidRDefault="00662586" w:rsidP="00662586">
      <w:pPr>
        <w:spacing w:after="0" w:line="240" w:lineRule="auto"/>
      </w:pPr>
      <w:r>
        <w:separator/>
      </w:r>
    </w:p>
  </w:footnote>
  <w:footnote w:type="continuationSeparator" w:id="0">
    <w:p w14:paraId="71CBD110" w14:textId="77777777" w:rsidR="00662586" w:rsidRDefault="00662586" w:rsidP="00662586">
      <w:pPr>
        <w:spacing w:after="0" w:line="240" w:lineRule="auto"/>
      </w:pPr>
      <w:r>
        <w:continuationSeparator/>
      </w:r>
    </w:p>
  </w:footnote>
  <w:footnote w:id="1">
    <w:p w14:paraId="12E73A82" w14:textId="77777777" w:rsidR="00662586" w:rsidRDefault="00662586" w:rsidP="00662586">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1CC03940" w14:textId="605090F7" w:rsidR="000700F8" w:rsidRDefault="000700F8" w:rsidP="000700F8">
      <w:pPr>
        <w:pStyle w:val="FootnoteText"/>
      </w:pPr>
      <w:r>
        <w:rPr>
          <w:rStyle w:val="FootnoteReference"/>
        </w:rPr>
        <w:footnoteRef/>
      </w:r>
      <w:r w:rsidR="001065FD">
        <w:t xml:space="preserve"> Under paragraphs 6</w:t>
      </w:r>
      <w:r w:rsidR="00A71B47">
        <w:t>9</w:t>
      </w:r>
      <w:r w:rsidR="001065FD">
        <w:t xml:space="preserve">(2) and </w:t>
      </w:r>
      <w:r w:rsidR="00A71B47">
        <w:t>70</w:t>
      </w:r>
      <w:r>
        <w:t>(2)(b) of the Code, we would be required to pay you the amount of any loss or damage sustained by you in consequence of the alteration referred to in this notice. Further, if you choose to supervise us when altering the electronic communications apparatus,</w:t>
      </w:r>
      <w:r w:rsidR="00307045">
        <w:t xml:space="preserve"> we are required by paragraph 6</w:t>
      </w:r>
      <w:r w:rsidR="00A71B47">
        <w:t>9</w:t>
      </w:r>
      <w:r w:rsidR="00307045">
        <w:t>(3</w:t>
      </w:r>
      <w:r>
        <w:t xml:space="preserve">) of the Code to pay you any expenses incurred by you in, or </w:t>
      </w:r>
      <w:proofErr w:type="gramStart"/>
      <w:r>
        <w:t>in connection with</w:t>
      </w:r>
      <w:proofErr w:type="gramEnd"/>
      <w:r>
        <w:t>, that supervision. Similarly, if you choose to make the alterations yourself, w</w:t>
      </w:r>
      <w:r w:rsidR="00307045">
        <w:t>e</w:t>
      </w:r>
      <w:r w:rsidR="00DC696C">
        <w:t xml:space="preserve"> are required under paragraph </w:t>
      </w:r>
      <w:r w:rsidR="00A71B47">
        <w:t>70</w:t>
      </w:r>
      <w:r w:rsidR="00307045">
        <w:t>(2)(a</w:t>
      </w:r>
      <w:r>
        <w:t xml:space="preserve">) to pay you any expenses incurred by you in, or </w:t>
      </w:r>
      <w:proofErr w:type="gramStart"/>
      <w:r>
        <w:t>in connection with</w:t>
      </w:r>
      <w:proofErr w:type="gramEnd"/>
      <w:r>
        <w:t>, making the alteration.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92D1" w14:textId="77777777" w:rsidR="00877DE0" w:rsidRDefault="00877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403FB" w14:textId="77777777" w:rsidR="00877DE0" w:rsidRDefault="00877D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D7DB0" w14:textId="77777777" w:rsidR="00877DE0" w:rsidRDefault="00877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90B7CD7"/>
    <w:multiLevelType w:val="hybridMultilevel"/>
    <w:tmpl w:val="2ECE1F2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86"/>
    <w:rsid w:val="000700F8"/>
    <w:rsid w:val="000D392D"/>
    <w:rsid w:val="001065FD"/>
    <w:rsid w:val="00121A9E"/>
    <w:rsid w:val="00153CB2"/>
    <w:rsid w:val="001606C3"/>
    <w:rsid w:val="001A148F"/>
    <w:rsid w:val="001B120B"/>
    <w:rsid w:val="00236685"/>
    <w:rsid w:val="002C1CAB"/>
    <w:rsid w:val="00307045"/>
    <w:rsid w:val="004E572C"/>
    <w:rsid w:val="00562EA2"/>
    <w:rsid w:val="005C3018"/>
    <w:rsid w:val="006062FD"/>
    <w:rsid w:val="00662586"/>
    <w:rsid w:val="006940BC"/>
    <w:rsid w:val="00724596"/>
    <w:rsid w:val="00877DE0"/>
    <w:rsid w:val="008C7D09"/>
    <w:rsid w:val="008D1A2F"/>
    <w:rsid w:val="0092628E"/>
    <w:rsid w:val="00940548"/>
    <w:rsid w:val="009810CF"/>
    <w:rsid w:val="009B34E9"/>
    <w:rsid w:val="00A45EEF"/>
    <w:rsid w:val="00A522AD"/>
    <w:rsid w:val="00A71B47"/>
    <w:rsid w:val="00AA3261"/>
    <w:rsid w:val="00B33041"/>
    <w:rsid w:val="00B52027"/>
    <w:rsid w:val="00C053E7"/>
    <w:rsid w:val="00C57AED"/>
    <w:rsid w:val="00CD50E0"/>
    <w:rsid w:val="00CF7E3D"/>
    <w:rsid w:val="00D10DB2"/>
    <w:rsid w:val="00D11D78"/>
    <w:rsid w:val="00D53E52"/>
    <w:rsid w:val="00DC3F06"/>
    <w:rsid w:val="00DC696C"/>
    <w:rsid w:val="00E45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8A2513"/>
  <w15:chartTrackingRefBased/>
  <w15:docId w15:val="{8FCCDF43-ED1E-42D5-9961-05359647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25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586"/>
    <w:pPr>
      <w:ind w:left="720"/>
      <w:contextualSpacing/>
    </w:pPr>
  </w:style>
  <w:style w:type="paragraph" w:styleId="FootnoteText">
    <w:name w:val="footnote text"/>
    <w:basedOn w:val="Normal"/>
    <w:link w:val="FootnoteTextChar"/>
    <w:uiPriority w:val="99"/>
    <w:unhideWhenUsed/>
    <w:rsid w:val="00662586"/>
    <w:pPr>
      <w:spacing w:after="0" w:line="240" w:lineRule="auto"/>
    </w:pPr>
    <w:rPr>
      <w:sz w:val="20"/>
      <w:szCs w:val="20"/>
    </w:rPr>
  </w:style>
  <w:style w:type="character" w:customStyle="1" w:styleId="FootnoteTextChar">
    <w:name w:val="Footnote Text Char"/>
    <w:basedOn w:val="DefaultParagraphFont"/>
    <w:link w:val="FootnoteText"/>
    <w:uiPriority w:val="99"/>
    <w:rsid w:val="00662586"/>
    <w:rPr>
      <w:rFonts w:ascii="Arial" w:hAnsi="Arial"/>
      <w:sz w:val="20"/>
      <w:szCs w:val="20"/>
    </w:rPr>
  </w:style>
  <w:style w:type="character" w:styleId="FootnoteReference">
    <w:name w:val="footnote reference"/>
    <w:basedOn w:val="DefaultParagraphFont"/>
    <w:uiPriority w:val="99"/>
    <w:semiHidden/>
    <w:unhideWhenUsed/>
    <w:rsid w:val="00662586"/>
    <w:rPr>
      <w:vertAlign w:val="superscript"/>
    </w:rPr>
  </w:style>
  <w:style w:type="character" w:styleId="Hyperlink">
    <w:name w:val="Hyperlink"/>
    <w:basedOn w:val="DefaultParagraphFont"/>
    <w:uiPriority w:val="99"/>
    <w:unhideWhenUsed/>
    <w:rsid w:val="00662586"/>
    <w:rPr>
      <w:color w:val="0563C1" w:themeColor="hyperlink"/>
      <w:u w:val="single"/>
    </w:rPr>
  </w:style>
  <w:style w:type="paragraph" w:styleId="Header">
    <w:name w:val="header"/>
    <w:basedOn w:val="Normal"/>
    <w:link w:val="HeaderChar"/>
    <w:uiPriority w:val="99"/>
    <w:unhideWhenUsed/>
    <w:rsid w:val="00662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2586"/>
    <w:rPr>
      <w:rFonts w:ascii="Arial" w:hAnsi="Arial"/>
    </w:rPr>
  </w:style>
  <w:style w:type="paragraph" w:styleId="Footer">
    <w:name w:val="footer"/>
    <w:basedOn w:val="Normal"/>
    <w:link w:val="FooterChar"/>
    <w:uiPriority w:val="99"/>
    <w:unhideWhenUsed/>
    <w:rsid w:val="00662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2586"/>
    <w:rPr>
      <w:rFonts w:ascii="Arial" w:hAnsi="Arial"/>
    </w:rPr>
  </w:style>
  <w:style w:type="character" w:styleId="CommentReference">
    <w:name w:val="annotation reference"/>
    <w:basedOn w:val="DefaultParagraphFont"/>
    <w:uiPriority w:val="99"/>
    <w:semiHidden/>
    <w:unhideWhenUsed/>
    <w:rsid w:val="00307045"/>
    <w:rPr>
      <w:sz w:val="16"/>
      <w:szCs w:val="16"/>
    </w:rPr>
  </w:style>
  <w:style w:type="paragraph" w:styleId="CommentText">
    <w:name w:val="annotation text"/>
    <w:basedOn w:val="Normal"/>
    <w:link w:val="CommentTextChar"/>
    <w:uiPriority w:val="99"/>
    <w:semiHidden/>
    <w:unhideWhenUsed/>
    <w:rsid w:val="00307045"/>
    <w:pPr>
      <w:spacing w:line="240" w:lineRule="auto"/>
    </w:pPr>
    <w:rPr>
      <w:sz w:val="20"/>
      <w:szCs w:val="20"/>
    </w:rPr>
  </w:style>
  <w:style w:type="character" w:customStyle="1" w:styleId="CommentTextChar">
    <w:name w:val="Comment Text Char"/>
    <w:basedOn w:val="DefaultParagraphFont"/>
    <w:link w:val="CommentText"/>
    <w:uiPriority w:val="99"/>
    <w:semiHidden/>
    <w:rsid w:val="0030704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07045"/>
    <w:rPr>
      <w:b/>
      <w:bCs/>
    </w:rPr>
  </w:style>
  <w:style w:type="character" w:customStyle="1" w:styleId="CommentSubjectChar">
    <w:name w:val="Comment Subject Char"/>
    <w:basedOn w:val="CommentTextChar"/>
    <w:link w:val="CommentSubject"/>
    <w:uiPriority w:val="99"/>
    <w:semiHidden/>
    <w:rsid w:val="00307045"/>
    <w:rPr>
      <w:rFonts w:ascii="Arial" w:hAnsi="Arial"/>
      <w:b/>
      <w:bCs/>
      <w:sz w:val="20"/>
      <w:szCs w:val="20"/>
    </w:rPr>
  </w:style>
  <w:style w:type="paragraph" w:styleId="BalloonText">
    <w:name w:val="Balloon Text"/>
    <w:basedOn w:val="Normal"/>
    <w:link w:val="BalloonTextChar"/>
    <w:uiPriority w:val="99"/>
    <w:semiHidden/>
    <w:unhideWhenUsed/>
    <w:rsid w:val="00307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0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9857-4882-4EC0-84F6-E49812C044CA}">
  <ds:schemaRefs>
    <ds:schemaRef ds:uri="http://schemas.openxmlformats.org/package/2006/metadata/core-properties"/>
    <ds:schemaRef ds:uri="http://purl.org/dc/elements/1.1/"/>
    <ds:schemaRef ds:uri="http://schemas.microsoft.com/office/infopath/2007/PartnerControls"/>
    <ds:schemaRef ds:uri="ab78cb0a-34de-4e01-bbe0-88a1b7d3961c"/>
    <ds:schemaRef ds:uri="http://schemas.microsoft.com/office/2006/metadata/properties"/>
    <ds:schemaRef ds:uri="http://purl.org/dc/terms/"/>
    <ds:schemaRef ds:uri="http://schemas.microsoft.com/office/2006/documentManagement/types"/>
    <ds:schemaRef ds:uri="c3463203-b8bf-41ec-804f-6244baab8e3d"/>
    <ds:schemaRef ds:uri="341f3a21-500e-418d-b220-102a9842abf4"/>
    <ds:schemaRef ds:uri="http://www.w3.org/XML/1998/namespace"/>
    <ds:schemaRef ds:uri="http://purl.org/dc/dcmitype/"/>
  </ds:schemaRefs>
</ds:datastoreItem>
</file>

<file path=customXml/itemProps2.xml><?xml version="1.0" encoding="utf-8"?>
<ds:datastoreItem xmlns:ds="http://schemas.openxmlformats.org/officeDocument/2006/customXml" ds:itemID="{80A740FF-E932-491D-8306-1B2E0D7F7B16}">
  <ds:schemaRefs>
    <ds:schemaRef ds:uri="http://schemas.microsoft.com/sharepoint/v3/contenttype/forms"/>
  </ds:schemaRefs>
</ds:datastoreItem>
</file>

<file path=customXml/itemProps3.xml><?xml version="1.0" encoding="utf-8"?>
<ds:datastoreItem xmlns:ds="http://schemas.openxmlformats.org/officeDocument/2006/customXml" ds:itemID="{B40715A9-A8C9-4C0C-8C17-7DCE0ABCA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E6DD6-6751-42D1-B22C-CE89EBF2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7</cp:revision>
  <dcterms:created xsi:type="dcterms:W3CDTF">2017-12-04T12:43:00Z</dcterms:created>
  <dcterms:modified xsi:type="dcterms:W3CDTF">2017-12-11T16:59:00Z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